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557" w:rsidRPr="00E37557" w:rsidRDefault="00E37557" w:rsidP="00E37557">
      <w:pPr>
        <w:pStyle w:val="ad"/>
        <w:rPr>
          <w:b/>
          <w:lang w:val="en-US"/>
        </w:rPr>
      </w:pPr>
      <w:bookmarkStart w:id="0" w:name="_GoBack"/>
      <w:r w:rsidRPr="00E37557">
        <w:rPr>
          <w:b/>
          <w:lang w:val="en-US"/>
        </w:rPr>
        <w:t>Supplement</w:t>
      </w:r>
      <w:bookmarkEnd w:id="0"/>
      <w:r w:rsidRPr="00E37557">
        <w:rPr>
          <w:b/>
          <w:lang w:val="en-US"/>
        </w:rPr>
        <w:t xml:space="preserve"> 1</w:t>
      </w:r>
    </w:p>
    <w:p w:rsidR="00E37557" w:rsidRPr="00E37557" w:rsidRDefault="00E37557" w:rsidP="00E37557">
      <w:pPr>
        <w:pStyle w:val="ad"/>
        <w:rPr>
          <w:b/>
          <w:lang w:val="en-US"/>
        </w:rPr>
      </w:pPr>
      <w:r w:rsidRPr="00E37557">
        <w:rPr>
          <w:lang w:val="en-US"/>
        </w:rPr>
        <w:t>to the Clearing Rules on the Securities Market and Deposits Market</w:t>
      </w:r>
    </w:p>
    <w:p w:rsidR="00581FB2" w:rsidRPr="00E37557" w:rsidRDefault="00581FB2" w:rsidP="00581FB2">
      <w:pPr>
        <w:pStyle w:val="ad"/>
        <w:rPr>
          <w:color w:val="000000"/>
          <w:lang w:val="en-US"/>
        </w:rPr>
      </w:pPr>
    </w:p>
    <w:p w:rsidR="00581FB2" w:rsidRPr="00E37557" w:rsidRDefault="00581FB2" w:rsidP="00581FB2">
      <w:pPr>
        <w:pStyle w:val="ad"/>
        <w:rPr>
          <w:color w:val="000000"/>
          <w:lang w:val="en-US"/>
        </w:rPr>
      </w:pPr>
    </w:p>
    <w:p w:rsidR="00581FB2" w:rsidRPr="00E37557" w:rsidRDefault="00E37557" w:rsidP="00581FB2">
      <w:pPr>
        <w:pStyle w:val="ac"/>
        <w:pageBreakBefore w:val="0"/>
        <w:tabs>
          <w:tab w:val="num" w:pos="0"/>
        </w:tabs>
        <w:ind w:left="0" w:hanging="567"/>
        <w:jc w:val="center"/>
        <w:rPr>
          <w:color w:val="000000"/>
          <w:sz w:val="32"/>
          <w:szCs w:val="32"/>
          <w:lang w:val="en-US"/>
        </w:rPr>
      </w:pPr>
      <w:r w:rsidRPr="00E37557">
        <w:rPr>
          <w:sz w:val="32"/>
          <w:szCs w:val="32"/>
          <w:lang w:val="en-US"/>
        </w:rPr>
        <w:t xml:space="preserve">Documents provided by legal entities to obtain </w:t>
      </w:r>
      <w:r w:rsidRPr="00E37557">
        <w:rPr>
          <w:sz w:val="32"/>
          <w:szCs w:val="32"/>
          <w:lang w:val="en-US"/>
        </w:rPr>
        <w:br/>
        <w:t>the Custodian status</w:t>
      </w:r>
    </w:p>
    <w:p w:rsidR="00581FB2" w:rsidRPr="00E37557" w:rsidRDefault="00581FB2" w:rsidP="00581FB2">
      <w:pPr>
        <w:pStyle w:val="ac"/>
        <w:pageBreakBefore w:val="0"/>
        <w:tabs>
          <w:tab w:val="num" w:pos="0"/>
        </w:tabs>
        <w:ind w:left="0" w:hanging="567"/>
        <w:jc w:val="center"/>
        <w:rPr>
          <w:color w:val="000000"/>
          <w:sz w:val="28"/>
          <w:lang w:val="en-US"/>
        </w:rPr>
      </w:pPr>
    </w:p>
    <w:p w:rsidR="00E37557" w:rsidRPr="00E37557" w:rsidRDefault="00581FB2" w:rsidP="00E37557">
      <w:pPr>
        <w:pStyle w:val="a9"/>
        <w:overflowPunct/>
        <w:autoSpaceDE/>
        <w:autoSpaceDN/>
        <w:adjustRightInd/>
        <w:spacing w:after="160" w:line="259" w:lineRule="auto"/>
        <w:textAlignment w:val="auto"/>
        <w:rPr>
          <w:b/>
          <w:sz w:val="28"/>
          <w:szCs w:val="28"/>
          <w:lang w:val="en-US"/>
        </w:rPr>
      </w:pPr>
      <w:r w:rsidRPr="00E37557">
        <w:rPr>
          <w:b/>
          <w:color w:val="000000"/>
          <w:sz w:val="28"/>
          <w:lang w:val="x-none"/>
        </w:rPr>
        <w:t xml:space="preserve">II </w:t>
      </w:r>
      <w:r w:rsidRPr="00E37557">
        <w:rPr>
          <w:color w:val="000000"/>
          <w:sz w:val="28"/>
          <w:lang w:val="en-US"/>
        </w:rPr>
        <w:tab/>
      </w:r>
      <w:r w:rsidR="00E37557" w:rsidRPr="00E37557">
        <w:rPr>
          <w:b/>
          <w:sz w:val="28"/>
          <w:szCs w:val="28"/>
          <w:lang w:val="en-US"/>
        </w:rPr>
        <w:t>The list of documents provided by the legal entity – Non-resident</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Form of a legal entity, which is the Supplement to the Procedure for provision of information and reposting and is placed on the Clearing House’s website in the form of an electronic document and/or printed out.</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Valid versions of the statute documents of the legal entity and all changes in it.</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Document confirming state registration of the entity.</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Special permission (license), issued by the authorized body of the state of residence, for the right to perform accounting and transfer of rights to securities and (or) settlement of securities and (or) settlement of securities on the basis of trading results on foreign exchanges or other regulated markets or clearing of such trading.</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Document on the registration of the legal entity in the tax authority (if any).</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Document confirming the registration of the legal entity in the tax authority organization (copy of which is notarized or verified by the legal entity itself) (if any).</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In respect of the person, authorized to act in the name of the legal entity according to the statute documents (hereinafter referred to as the Head):</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document, approving agreement on the Head of the legal entity with the authorized body of the residence of state of the legal entity (if such agreement is stipulated by the legislation of the residence of state);</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document of the authorized body of the legal entity, approving appointment of the Head;</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copy of the identification document of the Head, or of other documents, which are set by the federal law or are recognized as the document of identification according to the international treaty of the Russian Federation.</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 xml:space="preserve">Powers of attorney for the legal entity officials, authorized to perform actions (operations) of the legal entity within the relations with the Clearing House, including powers to sign all required documents. In case if powers of attorney </w:t>
      </w:r>
      <w:proofErr w:type="gramStart"/>
      <w:r w:rsidRPr="00E37557">
        <w:rPr>
          <w:lang w:val="en-US"/>
        </w:rPr>
        <w:t>provides</w:t>
      </w:r>
      <w:proofErr w:type="gramEnd"/>
      <w:r w:rsidRPr="00E37557">
        <w:rPr>
          <w:lang w:val="en-US"/>
        </w:rPr>
        <w:t xml:space="preserve"> powers to perform operations with cash funds and other assets, the following is provided additionally:</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certified by the signature of the authorized body and by the seal of the legal entity (if any) copy of the identification document of the representative of the legal entity, or copy of other documents, set out in the federal law or recognized as the document of identification according to the international treaty of the Russian Federation;</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 xml:space="preserve">copy of the certificate of registration with the tax authorities (ITN) of the representative of the legal entity, certified by the signature of the authorized person and by the seal of the legal entity (if any), or letter in any format with the indication of the ITN (if any). </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 xml:space="preserve">Consent of entities, given in the documents of the legal entity, forwarded to the Clearing House in accordance with the Clearing Rules, upon personal data processing according to the form, placed on the Clearing House’s website (in case of documents contain </w:t>
      </w:r>
      <w:r w:rsidRPr="00E37557">
        <w:rPr>
          <w:lang w:val="en-US"/>
        </w:rPr>
        <w:lastRenderedPageBreak/>
        <w:t>subjects of personal data in accordance with the Federal Law “On personal data” and unless otherwise stated by the requirements of the legislation).</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If the individual person, in respect of whom copy of the identification document shall be provided, is foreign citizen (stateless person) that stays in the Russian Federation then the following shall be provided additionally:</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notarized by the signature of the authorized person and by the seal of the legal entity (if any) copy of the document, which approves the right of foreign citizen (stateless person) to stay (live) in Russian Federation (permanent residence permit, temporary residence permit, visa, other document, approving the right of the foreign citizen or stateless person to stay (live) in the Russian Federation according to the legislation of the Russian Federation), or letter of the legal entity in any format, which contains the following information on the individual person: surname, name, patronymic name (if any), details of the identification document, which approves the right of the foreign citizen (stateless person) to stay (live) in the Russian Federation: document serial number (if any), start date of validity of the right to stay (live), end date of validity of the right to stay (live) in the Russian Federation), certified by the signature of authorized person and by the seal of the legal entity (if any) together with the provision of master or notarized copy of the document or copy of the document, which approves the right of the foreign citizen (stateless person) to stay (live) in the Russian Federation, certified by the signature of authorized person and by the seal of the legal entity (if any) in order to check provided information;</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certified by the signature of authorized person and by the seal of the legal entity (if any) copy of the immigration card or the letter of the legal entity in any format, which contains the following information on the individual person: surname, name, patronymic name (if any) details of the immigration card: number, period of stay start date, period of stay end date, certified by the signature of the authorized person and by the seal of the legal entity (if any) together with the provision of the master or notarized copy of the document or of the migration card, certified by the signature of the authorized person and by the seal of the legal entity (if any) in order to check provided information;</w:t>
      </w:r>
    </w:p>
    <w:p w:rsidR="00E37557" w:rsidRPr="00E37557" w:rsidRDefault="00E37557" w:rsidP="00E37557">
      <w:pPr>
        <w:pStyle w:val="a"/>
        <w:widowControl/>
        <w:tabs>
          <w:tab w:val="clear" w:pos="360"/>
        </w:tabs>
        <w:overflowPunct/>
        <w:autoSpaceDE/>
        <w:autoSpaceDN/>
        <w:adjustRightInd/>
        <w:textAlignment w:val="auto"/>
        <w:rPr>
          <w:lang w:val="en-US"/>
        </w:rPr>
      </w:pPr>
      <w:r w:rsidRPr="00E37557">
        <w:rPr>
          <w:lang w:val="en-US"/>
        </w:rPr>
        <w:t>letter with the information on residence address (place of registration) or place of temporary residence (in case if such information is not contained in other documents, provided according to this list), certified by the signature of the authorized person and by the seal of the legal entity (if any).</w:t>
      </w:r>
    </w:p>
    <w:p w:rsidR="00E37557" w:rsidRPr="00E37557" w:rsidRDefault="00E37557" w:rsidP="00E37557">
      <w:pPr>
        <w:pStyle w:val="a4"/>
        <w:numPr>
          <w:ilvl w:val="0"/>
          <w:numId w:val="3"/>
        </w:numPr>
        <w:overflowPunct/>
        <w:autoSpaceDE/>
        <w:autoSpaceDN/>
        <w:adjustRightInd/>
        <w:ind w:left="851" w:hanging="851"/>
        <w:textAlignment w:val="auto"/>
        <w:rPr>
          <w:lang w:val="en-US"/>
        </w:rPr>
      </w:pPr>
      <w:r w:rsidRPr="00E37557">
        <w:rPr>
          <w:lang w:val="en-US"/>
        </w:rPr>
        <w:t>Other documents which may be required by the Clearing House in the required cases, also the Clearing House is entitled to ask for the additional information, containing in earlier provided documents.</w:t>
      </w:r>
    </w:p>
    <w:p w:rsidR="00E37557" w:rsidRDefault="00E37557" w:rsidP="00E37557">
      <w:pPr>
        <w:pStyle w:val="ae"/>
        <w:ind w:left="0"/>
      </w:pPr>
      <w:r>
        <w:t>Documents, made on the territory of foreign states, shall be legalized or apostilled unless otherwise stipulated by the international agreements of Russian Federation.</w:t>
      </w:r>
    </w:p>
    <w:p w:rsidR="00E37557" w:rsidRDefault="00E37557" w:rsidP="00E37557">
      <w:pPr>
        <w:pStyle w:val="ae"/>
        <w:ind w:left="0"/>
      </w:pPr>
      <w:r>
        <w:t>Documents, made in full or partially in the foreign language, shall be translated into the Russian language. Fidelity of the translation or the authenticity of the signature of a translator shall be notarized.</w:t>
      </w:r>
    </w:p>
    <w:p w:rsidR="00E37557" w:rsidRDefault="00E37557" w:rsidP="00E37557">
      <w:pPr>
        <w:pStyle w:val="ae"/>
        <w:ind w:left="0"/>
      </w:pPr>
      <w:r>
        <w:t>Documents, provided by the legal entity, shall be valid for the date of its provision to the Clearing House.</w:t>
      </w:r>
    </w:p>
    <w:p w:rsidR="00581FB2" w:rsidRPr="00581FB2" w:rsidRDefault="00581FB2" w:rsidP="00E37557">
      <w:pPr>
        <w:pStyle w:val="8"/>
        <w:ind w:left="851" w:right="-1" w:hanging="851"/>
        <w:jc w:val="both"/>
        <w:rPr>
          <w:lang w:val="en-US"/>
        </w:rPr>
      </w:pPr>
      <w:r>
        <w:tab/>
      </w:r>
    </w:p>
    <w:sectPr w:rsidR="00581FB2" w:rsidRPr="00581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0CAE2B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131368B3"/>
    <w:multiLevelType w:val="hybridMultilevel"/>
    <w:tmpl w:val="386C105C"/>
    <w:lvl w:ilvl="0" w:tplc="388CC6B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11036"/>
    <w:multiLevelType w:val="hybridMultilevel"/>
    <w:tmpl w:val="DC8C79EC"/>
    <w:lvl w:ilvl="0" w:tplc="B922EF7E">
      <w:start w:val="1"/>
      <w:numFmt w:val="bullet"/>
      <w:pStyle w:val="a"/>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BC7D50"/>
    <w:multiLevelType w:val="multilevel"/>
    <w:tmpl w:val="9960A794"/>
    <w:lvl w:ilvl="0">
      <w:start w:val="1"/>
      <w:numFmt w:val="decimal"/>
      <w:pStyle w:val="a0"/>
      <w:suff w:val="nothing"/>
      <w:lvlText w:val="Приложение № %1"/>
      <w:lvlJc w:val="right"/>
      <w:pPr>
        <w:ind w:left="-424" w:firstLine="9497"/>
      </w:pPr>
      <w:rPr>
        <w:b w:val="0"/>
        <w:bCs w:val="0"/>
        <w:i w:val="0"/>
        <w:iCs w:val="0"/>
        <w:caps w:val="0"/>
        <w:smallCaps w:val="0"/>
        <w:strike w:val="0"/>
        <w:dstrike w:val="0"/>
        <w:outline w:val="0"/>
        <w:shadow w:val="0"/>
        <w:emboss w:val="0"/>
        <w:imprint w:val="0"/>
        <w:noProof w:val="0"/>
        <w:vanish w:val="0"/>
        <w:color w:val="FFFFFF"/>
        <w:spacing w:val="0"/>
        <w:kern w:val="0"/>
        <w:position w:val="0"/>
        <w:u w:val="none"/>
        <w:effect w:val="none"/>
        <w:vertAlign w:val="baseline"/>
        <w:em w:val="none"/>
        <w:specVanish w:val="0"/>
      </w:rPr>
    </w:lvl>
    <w:lvl w:ilvl="1">
      <w:start w:val="1"/>
      <w:numFmt w:val="decimal"/>
      <w:pStyle w:val="a1"/>
      <w:lvlText w:val="%2."/>
      <w:lvlJc w:val="left"/>
      <w:pPr>
        <w:tabs>
          <w:tab w:val="num" w:pos="7514"/>
        </w:tabs>
        <w:ind w:left="7514" w:hanging="851"/>
      </w:pPr>
      <w:rPr>
        <w:rFonts w:hint="default"/>
      </w:rPr>
    </w:lvl>
    <w:lvl w:ilvl="2">
      <w:start w:val="1"/>
      <w:numFmt w:val="decimal"/>
      <w:pStyle w:val="a2"/>
      <w:lvlText w:val="%2.%3."/>
      <w:lvlJc w:val="left"/>
      <w:pPr>
        <w:tabs>
          <w:tab w:val="num" w:pos="1702"/>
        </w:tabs>
        <w:ind w:left="1702" w:hanging="851"/>
      </w:pPr>
      <w:rPr>
        <w:rFonts w:hint="default"/>
      </w:rPr>
    </w:lvl>
    <w:lvl w:ilvl="3">
      <w:start w:val="1"/>
      <w:numFmt w:val="decimal"/>
      <w:pStyle w:val="a3"/>
      <w:lvlText w:val="%2.%3.%4."/>
      <w:lvlJc w:val="left"/>
      <w:pPr>
        <w:tabs>
          <w:tab w:val="num" w:pos="1702"/>
        </w:tabs>
        <w:ind w:left="1702" w:hanging="851"/>
      </w:pPr>
      <w:rPr>
        <w:rFonts w:hint="default"/>
      </w:rPr>
    </w:lvl>
    <w:lvl w:ilvl="4">
      <w:start w:val="1"/>
      <w:numFmt w:val="decimal"/>
      <w:pStyle w:val="4-"/>
      <w:lvlText w:val="%2.%3.%4.%5."/>
      <w:lvlJc w:val="left"/>
      <w:pPr>
        <w:tabs>
          <w:tab w:val="num" w:pos="1702"/>
        </w:tabs>
        <w:ind w:left="1702" w:hanging="851"/>
      </w:pPr>
      <w:rPr>
        <w:rFonts w:hint="default"/>
      </w:rPr>
    </w:lvl>
    <w:lvl w:ilvl="5">
      <w:start w:val="1"/>
      <w:numFmt w:val="decimal"/>
      <w:lvlText w:val="%1.%2.%3.%4.%5.%6."/>
      <w:lvlJc w:val="left"/>
      <w:pPr>
        <w:tabs>
          <w:tab w:val="num" w:pos="373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481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15:restartNumberingAfterBreak="0">
    <w:nsid w:val="7BD036CE"/>
    <w:multiLevelType w:val="hybridMultilevel"/>
    <w:tmpl w:val="1734AF3C"/>
    <w:lvl w:ilvl="0" w:tplc="0382D6D6">
      <w:start w:val="1"/>
      <w:numFmt w:val="decimal"/>
      <w:pStyle w:val="a4"/>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4"/>
    <w:lvlOverride w:ilvl="0">
      <w:startOverride w:val="1"/>
    </w:lvlOverride>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B2"/>
    <w:rsid w:val="00581FB2"/>
    <w:rsid w:val="008002E6"/>
    <w:rsid w:val="00E3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032A"/>
  <w15:chartTrackingRefBased/>
  <w15:docId w15:val="{33FFBEC9-B92B-4DC3-9A7D-57E4B5C6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81FB2"/>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8">
    <w:name w:val="heading 8"/>
    <w:basedOn w:val="a5"/>
    <w:next w:val="a5"/>
    <w:link w:val="80"/>
    <w:qFormat/>
    <w:rsid w:val="00581FB2"/>
    <w:pPr>
      <w:keepNext/>
      <w:widowControl/>
      <w:ind w:right="900"/>
      <w:jc w:val="center"/>
      <w:outlineLvl w:val="7"/>
    </w:pPr>
    <w:rPr>
      <w:rFonts w:ascii="Times New Roman CYR" w:hAnsi="Times New Roman CYR"/>
      <w:b/>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80">
    <w:name w:val="Заголовок 8 Знак"/>
    <w:basedOn w:val="a6"/>
    <w:link w:val="8"/>
    <w:rsid w:val="00581FB2"/>
    <w:rPr>
      <w:rFonts w:ascii="Times New Roman CYR" w:eastAsia="Times New Roman" w:hAnsi="Times New Roman CYR" w:cs="Times New Roman"/>
      <w:b/>
      <w:sz w:val="24"/>
      <w:szCs w:val="20"/>
      <w:lang w:val="x-none" w:eastAsia="x-none"/>
    </w:rPr>
  </w:style>
  <w:style w:type="paragraph" w:customStyle="1" w:styleId="a9">
    <w:name w:val="Текст_"/>
    <w:basedOn w:val="a5"/>
    <w:qFormat/>
    <w:rsid w:val="00581FB2"/>
    <w:pPr>
      <w:widowControl/>
      <w:spacing w:before="120"/>
      <w:ind w:firstLine="0"/>
    </w:pPr>
  </w:style>
  <w:style w:type="paragraph" w:customStyle="1" w:styleId="a">
    <w:name w:val="Пункт с точкой"/>
    <w:basedOn w:val="aa"/>
    <w:qFormat/>
    <w:rsid w:val="00581FB2"/>
    <w:pPr>
      <w:numPr>
        <w:numId w:val="1"/>
      </w:numPr>
      <w:tabs>
        <w:tab w:val="num" w:pos="360"/>
      </w:tabs>
      <w:spacing w:before="60" w:after="0"/>
      <w:ind w:left="1418" w:hanging="567"/>
    </w:pPr>
    <w:rPr>
      <w:szCs w:val="24"/>
    </w:rPr>
  </w:style>
  <w:style w:type="paragraph" w:customStyle="1" w:styleId="a4">
    <w:name w:val="Пункт приложения"/>
    <w:basedOn w:val="a5"/>
    <w:qFormat/>
    <w:rsid w:val="00581FB2"/>
    <w:pPr>
      <w:widowControl/>
      <w:numPr>
        <w:numId w:val="2"/>
      </w:numPr>
      <w:tabs>
        <w:tab w:val="left" w:pos="851"/>
      </w:tabs>
      <w:spacing w:before="120"/>
    </w:pPr>
  </w:style>
  <w:style w:type="paragraph" w:styleId="aa">
    <w:name w:val="Body Text Indent"/>
    <w:basedOn w:val="a5"/>
    <w:link w:val="ab"/>
    <w:uiPriority w:val="99"/>
    <w:semiHidden/>
    <w:unhideWhenUsed/>
    <w:rsid w:val="00581FB2"/>
    <w:pPr>
      <w:spacing w:after="120"/>
      <w:ind w:left="283"/>
    </w:pPr>
  </w:style>
  <w:style w:type="character" w:customStyle="1" w:styleId="ab">
    <w:name w:val="Основной текст с отступом Знак"/>
    <w:basedOn w:val="a6"/>
    <w:link w:val="aa"/>
    <w:uiPriority w:val="99"/>
    <w:semiHidden/>
    <w:rsid w:val="00581FB2"/>
    <w:rPr>
      <w:rFonts w:ascii="Times New Roman" w:eastAsia="Times New Roman" w:hAnsi="Times New Roman" w:cs="Times New Roman"/>
      <w:sz w:val="24"/>
      <w:szCs w:val="20"/>
      <w:lang w:eastAsia="ru-RU"/>
    </w:rPr>
  </w:style>
  <w:style w:type="paragraph" w:customStyle="1" w:styleId="a3">
    <w:name w:val="Подподпункт приложения"/>
    <w:basedOn w:val="a5"/>
    <w:qFormat/>
    <w:rsid w:val="00581FB2"/>
    <w:pPr>
      <w:numPr>
        <w:ilvl w:val="3"/>
        <w:numId w:val="4"/>
      </w:numPr>
      <w:spacing w:before="120"/>
    </w:pPr>
    <w:rPr>
      <w:bCs/>
      <w:szCs w:val="24"/>
    </w:rPr>
  </w:style>
  <w:style w:type="paragraph" w:customStyle="1" w:styleId="4-">
    <w:name w:val="Подпункт приложения 4-го уровня"/>
    <w:basedOn w:val="a5"/>
    <w:qFormat/>
    <w:rsid w:val="00581FB2"/>
    <w:pPr>
      <w:numPr>
        <w:ilvl w:val="4"/>
        <w:numId w:val="4"/>
      </w:numPr>
      <w:spacing w:before="60"/>
    </w:pPr>
  </w:style>
  <w:style w:type="paragraph" w:customStyle="1" w:styleId="a0">
    <w:name w:val="ПРИЛОЖЕНИЕ"/>
    <w:basedOn w:val="a5"/>
    <w:qFormat/>
    <w:rsid w:val="00581FB2"/>
    <w:pPr>
      <w:pageBreakBefore/>
      <w:widowControl/>
      <w:numPr>
        <w:numId w:val="4"/>
      </w:numPr>
      <w:ind w:firstLine="9780"/>
      <w:jc w:val="right"/>
    </w:pPr>
    <w:rPr>
      <w:b/>
    </w:rPr>
  </w:style>
  <w:style w:type="paragraph" w:customStyle="1" w:styleId="ac">
    <w:name w:val="Приложение"/>
    <w:basedOn w:val="a0"/>
    <w:qFormat/>
    <w:rsid w:val="00581FB2"/>
    <w:pPr>
      <w:ind w:firstLine="9497"/>
    </w:pPr>
  </w:style>
  <w:style w:type="paragraph" w:customStyle="1" w:styleId="ad">
    <w:name w:val="Дополнение к номеру прилолжения"/>
    <w:basedOn w:val="a0"/>
    <w:qFormat/>
    <w:rsid w:val="00581FB2"/>
    <w:pPr>
      <w:pageBreakBefore w:val="0"/>
      <w:numPr>
        <w:numId w:val="0"/>
      </w:numPr>
      <w:ind w:left="2835"/>
    </w:pPr>
    <w:rPr>
      <w:b w:val="0"/>
      <w:szCs w:val="24"/>
    </w:rPr>
  </w:style>
  <w:style w:type="paragraph" w:customStyle="1" w:styleId="a1">
    <w:name w:val="раздел приложения"/>
    <w:basedOn w:val="a5"/>
    <w:qFormat/>
    <w:rsid w:val="00581FB2"/>
    <w:pPr>
      <w:keepNext/>
      <w:widowControl/>
      <w:numPr>
        <w:ilvl w:val="1"/>
        <w:numId w:val="4"/>
      </w:numPr>
      <w:overflowPunct/>
      <w:autoSpaceDE/>
      <w:autoSpaceDN/>
      <w:adjustRightInd/>
      <w:spacing w:before="360"/>
      <w:textAlignment w:val="auto"/>
    </w:pPr>
    <w:rPr>
      <w:b/>
    </w:rPr>
  </w:style>
  <w:style w:type="paragraph" w:customStyle="1" w:styleId="a2">
    <w:name w:val="пункт приложения"/>
    <w:basedOn w:val="a5"/>
    <w:qFormat/>
    <w:rsid w:val="00581FB2"/>
    <w:pPr>
      <w:widowControl/>
      <w:numPr>
        <w:ilvl w:val="2"/>
        <w:numId w:val="4"/>
      </w:numPr>
      <w:overflowPunct/>
      <w:autoSpaceDE/>
      <w:autoSpaceDN/>
      <w:adjustRightInd/>
      <w:spacing w:before="240"/>
      <w:textAlignment w:val="auto"/>
    </w:pPr>
  </w:style>
  <w:style w:type="paragraph" w:customStyle="1" w:styleId="ae">
    <w:name w:val="Текст таб"/>
    <w:basedOn w:val="a5"/>
    <w:qFormat/>
    <w:rsid w:val="00E37557"/>
    <w:pPr>
      <w:widowControl/>
      <w:overflowPunct/>
      <w:autoSpaceDE/>
      <w:autoSpaceDN/>
      <w:adjustRightInd/>
      <w:spacing w:before="120"/>
      <w:ind w:left="851" w:firstLine="0"/>
      <w:textAlignment w:val="auto"/>
    </w:pPr>
    <w:rPr>
      <w:rFonts w:cstheme="minorBidi"/>
      <w:szCs w:val="22"/>
      <w:lang w:val="en-US" w:eastAsia="en-US"/>
    </w:rPr>
  </w:style>
  <w:style w:type="paragraph" w:styleId="5">
    <w:name w:val="List Bullet 5"/>
    <w:basedOn w:val="a5"/>
    <w:semiHidden/>
    <w:rsid w:val="00E37557"/>
    <w:pPr>
      <w:widowControl/>
      <w:numPr>
        <w:numId w:val="5"/>
      </w:numPr>
      <w:overflowPunct/>
      <w:autoSpaceDE/>
      <w:autoSpaceDN/>
      <w:adjustRightInd/>
      <w:spacing w:after="160" w:line="259" w:lineRule="auto"/>
      <w:jc w:val="left"/>
      <w:textAlignment w:val="auto"/>
    </w:pPr>
    <w:rPr>
      <w:rFonts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Криворотова Ольга Владимировна</dc:creator>
  <cp:keywords/>
  <dc:description/>
  <cp:lastModifiedBy>Криворотова Ольга Владимировна</cp:lastModifiedBy>
  <cp:revision>2</cp:revision>
  <dcterms:created xsi:type="dcterms:W3CDTF">2019-10-24T10:13:00Z</dcterms:created>
  <dcterms:modified xsi:type="dcterms:W3CDTF">2019-10-24T10:13:00Z</dcterms:modified>
</cp:coreProperties>
</file>