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F7A" w:rsidRDefault="006753AA" w:rsidP="006753AA">
      <w:pPr>
        <w:jc w:val="center"/>
        <w:rPr>
          <w:b/>
          <w:sz w:val="28"/>
          <w:szCs w:val="28"/>
          <w:lang w:val="en-US"/>
        </w:rPr>
      </w:pPr>
      <w:r w:rsidRPr="003A4543">
        <w:rPr>
          <w:b/>
          <w:sz w:val="28"/>
          <w:szCs w:val="28"/>
          <w:lang w:val="en-US"/>
        </w:rPr>
        <w:t>Calculation of the effective rate of the fee for recording Collateral in foreign currency</w:t>
      </w:r>
      <w:r w:rsidR="00D42F7A">
        <w:rPr>
          <w:b/>
          <w:sz w:val="28"/>
          <w:szCs w:val="28"/>
          <w:lang w:val="en-US"/>
        </w:rPr>
        <w:t>/precious metals</w:t>
      </w:r>
    </w:p>
    <w:p w:rsidR="006753AA" w:rsidRPr="00872833" w:rsidRDefault="00D42F7A" w:rsidP="00872833">
      <w:pPr>
        <w:pStyle w:val="Text"/>
        <w:spacing w:before="120" w:line="276" w:lineRule="auto"/>
        <w:ind w:firstLine="567"/>
        <w:jc w:val="center"/>
        <w:rPr>
          <w:b/>
          <w:szCs w:val="24"/>
        </w:rPr>
      </w:pPr>
      <w:r w:rsidRPr="00872833">
        <w:rPr>
          <w:b/>
          <w:szCs w:val="24"/>
        </w:rPr>
        <w:t>Calculation of the fee for recording individual clearing collateral and “other collateral” type</w:t>
      </w:r>
      <w:r w:rsidR="006753AA" w:rsidRPr="00872833">
        <w:rPr>
          <w:b/>
          <w:szCs w:val="24"/>
        </w:rPr>
        <w:t xml:space="preserve"> </w:t>
      </w:r>
    </w:p>
    <w:p w:rsidR="006753AA" w:rsidRDefault="006753AA" w:rsidP="006753AA">
      <w:pPr>
        <w:spacing w:line="276" w:lineRule="auto"/>
        <w:rPr>
          <w:szCs w:val="24"/>
          <w:lang w:val="en-US"/>
        </w:rPr>
      </w:pPr>
      <w:r>
        <w:rPr>
          <w:szCs w:val="24"/>
          <w:lang w:val="en-US"/>
        </w:rPr>
        <w:t xml:space="preserve">The effective rate is calculated as the ratio of the total </w:t>
      </w:r>
      <w:r w:rsidR="005A4DF5">
        <w:rPr>
          <w:szCs w:val="24"/>
          <w:lang w:val="en-US"/>
        </w:rPr>
        <w:t>amount</w:t>
      </w:r>
      <w:r>
        <w:rPr>
          <w:szCs w:val="24"/>
          <w:lang w:val="en-US"/>
        </w:rPr>
        <w:t xml:space="preserve"> of the interest, paid by the Clearing House in favor of credit institutions, including overseas ones, in which the Clearing House has </w:t>
      </w:r>
      <w:r w:rsidR="0051424C">
        <w:rPr>
          <w:szCs w:val="24"/>
          <w:lang w:val="en-US"/>
        </w:rPr>
        <w:t>opened</w:t>
      </w:r>
      <w:r>
        <w:rPr>
          <w:szCs w:val="24"/>
          <w:lang w:val="en-US"/>
        </w:rPr>
        <w:t xml:space="preserve"> clearing / correspondent accounts for recording individual / the other collateral in the relevant foreign currency, </w:t>
      </w:r>
      <w:r w:rsidR="0051424C">
        <w:rPr>
          <w:szCs w:val="24"/>
          <w:lang w:val="en-US"/>
        </w:rPr>
        <w:t>to</w:t>
      </w:r>
      <w:r>
        <w:rPr>
          <w:szCs w:val="24"/>
          <w:lang w:val="en-US"/>
        </w:rPr>
        <w:t xml:space="preserve"> the total </w:t>
      </w:r>
      <w:r w:rsidR="0051424C">
        <w:rPr>
          <w:szCs w:val="24"/>
          <w:lang w:val="en-US"/>
        </w:rPr>
        <w:t xml:space="preserve">amount </w:t>
      </w:r>
      <w:r>
        <w:rPr>
          <w:szCs w:val="24"/>
          <w:lang w:val="en-US"/>
        </w:rPr>
        <w:t xml:space="preserve">of the individual clearing and the other collateral in the relevant foreign currency, recorded by the Clearing House on each calendar day of the </w:t>
      </w:r>
      <w:r w:rsidR="0051424C">
        <w:rPr>
          <w:szCs w:val="24"/>
          <w:lang w:val="en-US"/>
        </w:rPr>
        <w:t>reporting</w:t>
      </w:r>
      <w:r>
        <w:rPr>
          <w:szCs w:val="24"/>
          <w:lang w:val="en-US"/>
        </w:rPr>
        <w:t xml:space="preserve"> month.</w:t>
      </w:r>
    </w:p>
    <w:p w:rsidR="006753AA" w:rsidRDefault="006753AA" w:rsidP="006753AA">
      <w:pPr>
        <w:spacing w:line="276" w:lineRule="auto"/>
        <w:rPr>
          <w:szCs w:val="24"/>
          <w:lang w:val="en-US"/>
        </w:rPr>
      </w:pPr>
      <w:r>
        <w:rPr>
          <w:szCs w:val="24"/>
          <w:lang w:val="en-US"/>
        </w:rPr>
        <w:t xml:space="preserve">The </w:t>
      </w:r>
      <w:r w:rsidR="0051424C">
        <w:rPr>
          <w:szCs w:val="24"/>
          <w:lang w:val="en-US"/>
        </w:rPr>
        <w:t>amount</w:t>
      </w:r>
      <w:r>
        <w:rPr>
          <w:szCs w:val="24"/>
          <w:lang w:val="en-US"/>
        </w:rPr>
        <w:t xml:space="preserve"> of the fee for recording individual </w:t>
      </w:r>
      <w:r w:rsidR="0051424C">
        <w:rPr>
          <w:szCs w:val="24"/>
          <w:lang w:val="en-US"/>
        </w:rPr>
        <w:t xml:space="preserve">clearing </w:t>
      </w:r>
      <w:r>
        <w:rPr>
          <w:szCs w:val="24"/>
          <w:lang w:val="en-US"/>
        </w:rPr>
        <w:t xml:space="preserve">and the </w:t>
      </w:r>
      <w:r w:rsidR="00D42F7A">
        <w:rPr>
          <w:szCs w:val="24"/>
          <w:lang w:val="en-US"/>
        </w:rPr>
        <w:t>“</w:t>
      </w:r>
      <w:r>
        <w:rPr>
          <w:szCs w:val="24"/>
          <w:lang w:val="en-US"/>
        </w:rPr>
        <w:t>other collateral</w:t>
      </w:r>
      <w:r w:rsidR="00D42F7A">
        <w:rPr>
          <w:szCs w:val="24"/>
          <w:lang w:val="en-US"/>
        </w:rPr>
        <w:t>” type</w:t>
      </w:r>
      <w:r>
        <w:rPr>
          <w:szCs w:val="24"/>
          <w:lang w:val="en-US"/>
        </w:rPr>
        <w:t xml:space="preserve">, to be paid by a Clearing Member, is calculated </w:t>
      </w:r>
      <w:r w:rsidR="00D42F7A">
        <w:rPr>
          <w:szCs w:val="24"/>
          <w:lang w:val="en-US"/>
        </w:rPr>
        <w:t xml:space="preserve">for each Settlement Account per currency/precious metal </w:t>
      </w:r>
      <w:r>
        <w:rPr>
          <w:szCs w:val="24"/>
          <w:lang w:val="en-US"/>
        </w:rPr>
        <w:t>according to the formula:</w:t>
      </w:r>
    </w:p>
    <w:p w:rsidR="000E0F50" w:rsidRPr="00310423" w:rsidRDefault="000E0F50" w:rsidP="000E0F50">
      <w:pPr>
        <w:pStyle w:val="Text"/>
        <w:tabs>
          <w:tab w:val="left" w:pos="567"/>
        </w:tabs>
        <w:spacing w:before="60" w:line="276" w:lineRule="auto"/>
        <w:rPr>
          <w:szCs w:val="24"/>
          <w:vertAlign w:val="subscript"/>
          <w:lang w:val="en-US"/>
        </w:rPr>
      </w:pPr>
      <w:r w:rsidRPr="00370C34">
        <w:rPr>
          <w:szCs w:val="24"/>
        </w:rPr>
        <w:tab/>
      </w:r>
      <w:r w:rsidRPr="00491043">
        <w:rPr>
          <w:szCs w:val="24"/>
        </w:rPr>
        <w:t xml:space="preserve">                     </w:t>
      </w:r>
      <w:r w:rsidRPr="006B2764">
        <w:rPr>
          <w:szCs w:val="24"/>
          <w:vertAlign w:val="subscript"/>
          <w:lang w:val="en-US"/>
        </w:rPr>
        <w:t>m</w:t>
      </w:r>
    </w:p>
    <w:p w:rsidR="000E0F50" w:rsidRDefault="000E0F50" w:rsidP="000E0F50">
      <w:pPr>
        <w:pStyle w:val="Text"/>
        <w:spacing w:line="276" w:lineRule="auto"/>
        <w:rPr>
          <w:rFonts w:cs="Times New Roman"/>
          <w:szCs w:val="24"/>
          <w:lang w:val="en-US"/>
        </w:rPr>
      </w:pPr>
      <w:r w:rsidRPr="00370C34">
        <w:rPr>
          <w:szCs w:val="24"/>
          <w:lang w:val="en-US"/>
        </w:rPr>
        <w:t>F</w:t>
      </w:r>
      <w:r>
        <w:rPr>
          <w:szCs w:val="24"/>
          <w:lang w:val="en-US"/>
        </w:rPr>
        <w:t>EE</w:t>
      </w:r>
      <w:r w:rsidRPr="00491043">
        <w:rPr>
          <w:szCs w:val="24"/>
          <w:lang w:val="en-US"/>
        </w:rPr>
        <w:t xml:space="preserve"> =</w:t>
      </w:r>
      <w:r>
        <w:rPr>
          <w:szCs w:val="24"/>
          <w:lang w:val="en-US"/>
        </w:rPr>
        <w:t xml:space="preserve">ROUND </w:t>
      </w:r>
      <w:r w:rsidRPr="00491043">
        <w:rPr>
          <w:szCs w:val="24"/>
          <w:lang w:val="en-US"/>
        </w:rPr>
        <w:t>(</w:t>
      </w:r>
      <w:r w:rsidRPr="00370C34">
        <w:rPr>
          <w:rFonts w:cs="Times New Roman"/>
          <w:szCs w:val="24"/>
          <w:lang w:val="en-US"/>
        </w:rPr>
        <w:t>Σ</w:t>
      </w:r>
      <w:r w:rsidRPr="00491043">
        <w:rPr>
          <w:rFonts w:cs="Times New Roman"/>
          <w:szCs w:val="24"/>
          <w:lang w:val="en-US"/>
        </w:rPr>
        <w:t xml:space="preserve"> </w:t>
      </w:r>
      <w:proofErr w:type="spellStart"/>
      <w:r>
        <w:rPr>
          <w:rFonts w:cs="Times New Roman"/>
          <w:szCs w:val="24"/>
          <w:lang w:val="en-US"/>
        </w:rPr>
        <w:t>cl_bal</w:t>
      </w:r>
      <w:r w:rsidRPr="00370C34">
        <w:rPr>
          <w:rFonts w:cs="Times New Roman"/>
          <w:szCs w:val="24"/>
          <w:vertAlign w:val="subscript"/>
          <w:lang w:val="en-US"/>
        </w:rPr>
        <w:t>i</w:t>
      </w:r>
      <w:proofErr w:type="spellEnd"/>
      <w:r w:rsidRPr="00491043">
        <w:rPr>
          <w:rFonts w:cs="Times New Roman"/>
          <w:szCs w:val="24"/>
          <w:lang w:val="en-US"/>
        </w:rPr>
        <w:t xml:space="preserve"> × </w:t>
      </w:r>
      <w:r w:rsidRPr="00370C34">
        <w:rPr>
          <w:rFonts w:cs="Times New Roman"/>
          <w:szCs w:val="24"/>
          <w:lang w:val="en-US"/>
        </w:rPr>
        <w:t>S</w:t>
      </w:r>
      <w:r w:rsidRPr="00491043">
        <w:rPr>
          <w:rFonts w:cs="Times New Roman"/>
          <w:szCs w:val="24"/>
          <w:lang w:val="en-US"/>
        </w:rPr>
        <w:t xml:space="preserve"> × </w:t>
      </w:r>
      <w:r>
        <w:rPr>
          <w:rFonts w:cs="Times New Roman"/>
          <w:szCs w:val="24"/>
          <w:lang w:val="en-US"/>
        </w:rPr>
        <w:t>z</w:t>
      </w:r>
      <w:r w:rsidRPr="00491043">
        <w:rPr>
          <w:rFonts w:cs="Times New Roman"/>
          <w:szCs w:val="24"/>
          <w:lang w:val="en-US"/>
        </w:rPr>
        <w:t xml:space="preserve"> /</w:t>
      </w:r>
      <w:r>
        <w:rPr>
          <w:rFonts w:cs="Times New Roman"/>
          <w:szCs w:val="24"/>
          <w:lang w:val="en-US"/>
        </w:rPr>
        <w:t xml:space="preserve"> </w:t>
      </w:r>
      <w:r w:rsidRPr="00491043">
        <w:rPr>
          <w:rFonts w:cs="Times New Roman"/>
          <w:szCs w:val="24"/>
          <w:lang w:val="en-US"/>
        </w:rPr>
        <w:t>(</w:t>
      </w:r>
      <w:r w:rsidRPr="00370C34">
        <w:rPr>
          <w:rFonts w:cs="Times New Roman"/>
          <w:szCs w:val="24"/>
          <w:lang w:val="en-US"/>
        </w:rPr>
        <w:t>y</w:t>
      </w:r>
      <w:r w:rsidRPr="00491043">
        <w:rPr>
          <w:rFonts w:cs="Times New Roman"/>
          <w:szCs w:val="24"/>
          <w:lang w:val="en-US"/>
        </w:rPr>
        <w:t xml:space="preserve"> × 100); 2), </w:t>
      </w:r>
    </w:p>
    <w:p w:rsidR="000E0F50" w:rsidRPr="000E0F50" w:rsidRDefault="000E0F50" w:rsidP="000E0F50">
      <w:pPr>
        <w:pStyle w:val="Text"/>
        <w:tabs>
          <w:tab w:val="left" w:pos="567"/>
        </w:tabs>
        <w:spacing w:line="276" w:lineRule="auto"/>
        <w:rPr>
          <w:szCs w:val="24"/>
          <w:vertAlign w:val="subscript"/>
          <w:lang w:val="en-US"/>
        </w:rPr>
      </w:pPr>
      <w:r w:rsidRPr="00854746">
        <w:rPr>
          <w:szCs w:val="24"/>
          <w:lang w:val="en-US"/>
        </w:rPr>
        <w:t xml:space="preserve">                              </w:t>
      </w:r>
      <w:proofErr w:type="spellStart"/>
      <w:r w:rsidRPr="006B2764">
        <w:rPr>
          <w:szCs w:val="24"/>
          <w:vertAlign w:val="subscript"/>
          <w:lang w:val="en-US"/>
        </w:rPr>
        <w:t>i</w:t>
      </w:r>
      <w:proofErr w:type="spellEnd"/>
      <w:r w:rsidRPr="006B2764">
        <w:rPr>
          <w:szCs w:val="24"/>
          <w:vertAlign w:val="subscript"/>
        </w:rPr>
        <w:t>=1</w:t>
      </w:r>
      <w:r>
        <w:rPr>
          <w:szCs w:val="24"/>
          <w:vertAlign w:val="subscript"/>
          <w:lang w:val="en-US"/>
        </w:rPr>
        <w:t>`</w:t>
      </w:r>
    </w:p>
    <w:p w:rsidR="000E0F50" w:rsidRDefault="000E0F50" w:rsidP="006753AA">
      <w:pPr>
        <w:pStyle w:val="Text"/>
        <w:spacing w:before="120" w:line="276" w:lineRule="auto"/>
        <w:rPr>
          <w:szCs w:val="24"/>
          <w:lang w:val="en-US"/>
        </w:rPr>
      </w:pPr>
      <w:r>
        <w:rPr>
          <w:szCs w:val="24"/>
          <w:lang w:val="en-US"/>
        </w:rPr>
        <w:t>where</w:t>
      </w:r>
    </w:p>
    <w:p w:rsidR="006753AA" w:rsidRPr="003A4543" w:rsidRDefault="00845785" w:rsidP="006753AA">
      <w:pPr>
        <w:pStyle w:val="Text"/>
        <w:spacing w:before="120" w:line="276" w:lineRule="auto"/>
        <w:rPr>
          <w:szCs w:val="24"/>
          <w:lang w:val="en-US"/>
        </w:rPr>
      </w:pPr>
      <w:r>
        <w:rPr>
          <w:szCs w:val="24"/>
          <w:lang w:val="en-US"/>
        </w:rPr>
        <w:t>FEE</w:t>
      </w:r>
      <w:r w:rsidR="006753AA" w:rsidRPr="003A4543">
        <w:rPr>
          <w:szCs w:val="24"/>
          <w:lang w:val="en-US"/>
        </w:rPr>
        <w:t xml:space="preserve"> </w:t>
      </w:r>
      <w:r w:rsidR="006753AA">
        <w:rPr>
          <w:szCs w:val="24"/>
          <w:lang w:val="en-US"/>
        </w:rPr>
        <w:t xml:space="preserve">is the sum of the fee for recording individual clearing and the </w:t>
      </w:r>
      <w:r>
        <w:rPr>
          <w:szCs w:val="24"/>
          <w:lang w:val="en-US"/>
        </w:rPr>
        <w:t>“</w:t>
      </w:r>
      <w:r w:rsidR="006753AA">
        <w:rPr>
          <w:szCs w:val="24"/>
          <w:lang w:val="en-US"/>
        </w:rPr>
        <w:t>other collateral</w:t>
      </w:r>
      <w:r>
        <w:rPr>
          <w:szCs w:val="24"/>
          <w:lang w:val="en-US"/>
        </w:rPr>
        <w:t>” type under Collateral account / trading banking account (hereinafter referred to as TBA) in the relevant foreign currency / precious metal, recorded under relevant Settlement Account, rounded to 2 decimals;</w:t>
      </w:r>
    </w:p>
    <w:p w:rsidR="006753AA" w:rsidRPr="00B8287C" w:rsidRDefault="006753AA" w:rsidP="006753AA">
      <w:pPr>
        <w:pStyle w:val="Text"/>
        <w:spacing w:before="120" w:line="276" w:lineRule="auto"/>
        <w:rPr>
          <w:szCs w:val="24"/>
          <w:lang w:val="en-US"/>
        </w:rPr>
      </w:pPr>
      <w:proofErr w:type="spellStart"/>
      <w:r w:rsidRPr="003A4543">
        <w:rPr>
          <w:szCs w:val="24"/>
          <w:lang w:val="en-US"/>
        </w:rPr>
        <w:t>cl_bali</w:t>
      </w:r>
      <w:proofErr w:type="spellEnd"/>
      <w:r w:rsidRPr="003A4543">
        <w:rPr>
          <w:szCs w:val="24"/>
          <w:lang w:val="en-US"/>
        </w:rPr>
        <w:t xml:space="preserve"> </w:t>
      </w:r>
      <w:r>
        <w:rPr>
          <w:szCs w:val="24"/>
          <w:lang w:val="en-US"/>
        </w:rPr>
        <w:t xml:space="preserve">is the opening balance of the individual clearing and the </w:t>
      </w:r>
      <w:r w:rsidR="00845785">
        <w:rPr>
          <w:szCs w:val="24"/>
          <w:lang w:val="en-US"/>
        </w:rPr>
        <w:t>“</w:t>
      </w:r>
      <w:r>
        <w:rPr>
          <w:szCs w:val="24"/>
          <w:lang w:val="en-US"/>
        </w:rPr>
        <w:t>other collateral</w:t>
      </w:r>
      <w:r w:rsidR="00845785">
        <w:rPr>
          <w:szCs w:val="24"/>
          <w:lang w:val="en-US"/>
        </w:rPr>
        <w:t>” type</w:t>
      </w:r>
      <w:r>
        <w:rPr>
          <w:szCs w:val="24"/>
          <w:lang w:val="en-US"/>
        </w:rPr>
        <w:t xml:space="preserve"> in the relevant forei</w:t>
      </w:r>
      <w:r w:rsidR="0051424C">
        <w:rPr>
          <w:szCs w:val="24"/>
          <w:lang w:val="en-US"/>
        </w:rPr>
        <w:t>gn currency</w:t>
      </w:r>
      <w:r w:rsidR="00845785">
        <w:rPr>
          <w:szCs w:val="24"/>
          <w:lang w:val="en-US"/>
        </w:rPr>
        <w:t xml:space="preserve"> / relevant precious metal under the Collateral account / TBA in the relevant precious metal</w:t>
      </w:r>
      <w:r w:rsidR="0051424C">
        <w:rPr>
          <w:szCs w:val="24"/>
          <w:lang w:val="en-US"/>
        </w:rPr>
        <w:t xml:space="preserve"> on the calendar day </w:t>
      </w:r>
      <w:r>
        <w:rPr>
          <w:szCs w:val="24"/>
          <w:lang w:val="en-US"/>
        </w:rPr>
        <w:t>i of the month (the field “OPENING_BALANCE” from the Cash flow statement CCX99)</w:t>
      </w:r>
      <w:r w:rsidR="0051424C">
        <w:rPr>
          <w:szCs w:val="24"/>
          <w:lang w:val="en-US"/>
        </w:rPr>
        <w:t>;</w:t>
      </w:r>
      <w:r>
        <w:rPr>
          <w:szCs w:val="24"/>
          <w:lang w:val="en-US"/>
        </w:rPr>
        <w:t xml:space="preserve"> for the day(s), which </w:t>
      </w:r>
      <w:r w:rsidR="00845785">
        <w:rPr>
          <w:szCs w:val="24"/>
          <w:lang w:val="en-US"/>
        </w:rPr>
        <w:t>is (</w:t>
      </w:r>
      <w:r>
        <w:rPr>
          <w:szCs w:val="24"/>
          <w:lang w:val="en-US"/>
        </w:rPr>
        <w:t>are</w:t>
      </w:r>
      <w:r w:rsidR="00845785">
        <w:rPr>
          <w:szCs w:val="24"/>
          <w:lang w:val="en-US"/>
        </w:rPr>
        <w:t>)</w:t>
      </w:r>
      <w:r>
        <w:rPr>
          <w:szCs w:val="24"/>
          <w:lang w:val="en-US"/>
        </w:rPr>
        <w:t xml:space="preserve"> not Settlement Day</w:t>
      </w:r>
      <w:r w:rsidR="00845785">
        <w:rPr>
          <w:szCs w:val="24"/>
          <w:lang w:val="en-US"/>
        </w:rPr>
        <w:t>(</w:t>
      </w:r>
      <w:r>
        <w:rPr>
          <w:szCs w:val="24"/>
          <w:lang w:val="en-US"/>
        </w:rPr>
        <w:t>s</w:t>
      </w:r>
      <w:r w:rsidR="00845785">
        <w:rPr>
          <w:szCs w:val="24"/>
          <w:lang w:val="en-US"/>
        </w:rPr>
        <w:t>)</w:t>
      </w:r>
      <w:r>
        <w:rPr>
          <w:szCs w:val="24"/>
          <w:lang w:val="en-US"/>
        </w:rPr>
        <w:t xml:space="preserve"> is the closing balance for the last Settlement Day (the field “CLOSING_BALANCE” from the Cash flow statement CCX99),</w:t>
      </w:r>
    </w:p>
    <w:p w:rsidR="006753AA" w:rsidRPr="003A4543" w:rsidRDefault="006753AA" w:rsidP="006753AA">
      <w:pPr>
        <w:pStyle w:val="Text"/>
        <w:spacing w:before="120" w:line="276" w:lineRule="auto"/>
        <w:rPr>
          <w:szCs w:val="24"/>
          <w:lang w:val="en-US"/>
        </w:rPr>
      </w:pPr>
      <w:r w:rsidRPr="003A4543">
        <w:rPr>
          <w:szCs w:val="24"/>
          <w:lang w:val="en-US"/>
        </w:rPr>
        <w:t xml:space="preserve">S </w:t>
      </w:r>
      <w:r>
        <w:rPr>
          <w:szCs w:val="24"/>
          <w:lang w:val="en-US"/>
        </w:rPr>
        <w:t xml:space="preserve">is rate of the fee for recording individual clearing and the </w:t>
      </w:r>
      <w:r w:rsidR="00845785">
        <w:rPr>
          <w:szCs w:val="24"/>
          <w:lang w:val="en-US"/>
        </w:rPr>
        <w:t>“</w:t>
      </w:r>
      <w:r>
        <w:rPr>
          <w:szCs w:val="24"/>
          <w:lang w:val="en-US"/>
        </w:rPr>
        <w:t>other collateral</w:t>
      </w:r>
      <w:r w:rsidR="00845785">
        <w:rPr>
          <w:szCs w:val="24"/>
          <w:lang w:val="en-US"/>
        </w:rPr>
        <w:t>” type</w:t>
      </w:r>
      <w:r>
        <w:rPr>
          <w:szCs w:val="24"/>
          <w:lang w:val="en-US"/>
        </w:rPr>
        <w:t xml:space="preserve"> (in per cent per annum) in the relevant foreign currency</w:t>
      </w:r>
      <w:r w:rsidR="00845785">
        <w:rPr>
          <w:szCs w:val="24"/>
          <w:lang w:val="en-US"/>
        </w:rPr>
        <w:t xml:space="preserve"> / relevant precious metal</w:t>
      </w:r>
      <w:r w:rsidR="001F15F5">
        <w:rPr>
          <w:szCs w:val="24"/>
          <w:lang w:val="en-US"/>
        </w:rPr>
        <w:t>: rate set by the Tariffs of the Clearing House / effective rate, calculated by the Clearing House and</w:t>
      </w:r>
      <w:r>
        <w:rPr>
          <w:szCs w:val="24"/>
          <w:lang w:val="en-US"/>
        </w:rPr>
        <w:t xml:space="preserve"> disclosed on the Clearing House’s website</w:t>
      </w:r>
      <w:r w:rsidR="001F15F5">
        <w:rPr>
          <w:szCs w:val="24"/>
          <w:lang w:val="en-US"/>
        </w:rPr>
        <w:t xml:space="preserve"> correspondingly</w:t>
      </w:r>
      <w:r w:rsidRPr="003A4543">
        <w:rPr>
          <w:szCs w:val="24"/>
          <w:lang w:val="en-US"/>
        </w:rPr>
        <w:t>,</w:t>
      </w:r>
    </w:p>
    <w:p w:rsidR="006753AA" w:rsidRPr="003A4543" w:rsidRDefault="006753AA" w:rsidP="006753AA">
      <w:pPr>
        <w:pStyle w:val="Text"/>
        <w:spacing w:before="120" w:line="276" w:lineRule="auto"/>
        <w:rPr>
          <w:szCs w:val="24"/>
          <w:lang w:val="en-US"/>
        </w:rPr>
      </w:pPr>
      <w:r w:rsidRPr="003A4543">
        <w:rPr>
          <w:szCs w:val="24"/>
          <w:lang w:val="en-US"/>
        </w:rPr>
        <w:t xml:space="preserve">m </w:t>
      </w:r>
      <w:r>
        <w:rPr>
          <w:szCs w:val="24"/>
          <w:lang w:val="en-US"/>
        </w:rPr>
        <w:t xml:space="preserve">is the number of calendar days in the </w:t>
      </w:r>
      <w:r w:rsidR="0051424C">
        <w:rPr>
          <w:szCs w:val="24"/>
          <w:lang w:val="en-US"/>
        </w:rPr>
        <w:t>reporting</w:t>
      </w:r>
      <w:r>
        <w:rPr>
          <w:szCs w:val="24"/>
          <w:lang w:val="en-US"/>
        </w:rPr>
        <w:t xml:space="preserve"> year</w:t>
      </w:r>
      <w:r w:rsidRPr="003A4543">
        <w:rPr>
          <w:szCs w:val="24"/>
          <w:lang w:val="en-US"/>
        </w:rPr>
        <w:t>,</w:t>
      </w:r>
    </w:p>
    <w:p w:rsidR="001F15F5" w:rsidRDefault="006753AA" w:rsidP="006753AA">
      <w:pPr>
        <w:pStyle w:val="Text"/>
        <w:spacing w:before="120" w:line="276" w:lineRule="auto"/>
        <w:rPr>
          <w:szCs w:val="24"/>
          <w:lang w:val="en-US"/>
        </w:rPr>
      </w:pPr>
      <w:r w:rsidRPr="003A4543">
        <w:rPr>
          <w:szCs w:val="24"/>
          <w:lang w:val="en-US"/>
        </w:rPr>
        <w:t xml:space="preserve">y </w:t>
      </w:r>
      <w:r>
        <w:rPr>
          <w:szCs w:val="24"/>
          <w:lang w:val="en-US"/>
        </w:rPr>
        <w:t xml:space="preserve">is the number of calendar days in the year, a part of which is a </w:t>
      </w:r>
      <w:r w:rsidR="0051424C">
        <w:rPr>
          <w:szCs w:val="24"/>
          <w:lang w:val="en-US"/>
        </w:rPr>
        <w:t>reporting month</w:t>
      </w:r>
      <w:r w:rsidR="001F15F5">
        <w:rPr>
          <w:szCs w:val="24"/>
          <w:lang w:val="en-US"/>
        </w:rPr>
        <w:t>,</w:t>
      </w:r>
    </w:p>
    <w:p w:rsidR="00EF0FF0" w:rsidRDefault="001F15F5" w:rsidP="006753AA">
      <w:pPr>
        <w:pStyle w:val="Text"/>
        <w:spacing w:before="120" w:line="276" w:lineRule="auto"/>
        <w:rPr>
          <w:szCs w:val="24"/>
          <w:lang w:val="en-US"/>
        </w:rPr>
      </w:pPr>
      <w:r>
        <w:rPr>
          <w:szCs w:val="24"/>
          <w:lang w:val="en-US"/>
        </w:rPr>
        <w:t>z is the foreign exchange rate for Russian ruble, set by the Bank of Russia on the last workday of the month when service has been provided</w:t>
      </w:r>
      <w:r w:rsidR="0051424C">
        <w:rPr>
          <w:szCs w:val="24"/>
          <w:lang w:val="en-US"/>
        </w:rPr>
        <w:t>.</w:t>
      </w:r>
      <w:r w:rsidR="00EF0FF0">
        <w:rPr>
          <w:szCs w:val="24"/>
          <w:lang w:val="en-US"/>
        </w:rPr>
        <w:t xml:space="preserve"> z is equal to</w:t>
      </w:r>
      <w:r>
        <w:rPr>
          <w:szCs w:val="24"/>
          <w:lang w:val="en-US"/>
        </w:rPr>
        <w:t xml:space="preserve"> 1 if </w:t>
      </w:r>
      <w:r w:rsidR="00EF0FF0">
        <w:rPr>
          <w:szCs w:val="24"/>
          <w:lang w:val="en-US"/>
        </w:rPr>
        <w:t>the charge</w:t>
      </w:r>
      <w:r>
        <w:rPr>
          <w:szCs w:val="24"/>
          <w:lang w:val="en-US"/>
        </w:rPr>
        <w:t xml:space="preserve"> for </w:t>
      </w:r>
      <w:r w:rsidR="00EF0FF0">
        <w:rPr>
          <w:szCs w:val="24"/>
          <w:lang w:val="en-US"/>
        </w:rPr>
        <w:t>keeping ingots of the relevant precious metal is paid by the Clearing House in Russian rubles.</w:t>
      </w:r>
    </w:p>
    <w:p w:rsidR="00EF0FF0" w:rsidRDefault="00EF0FF0" w:rsidP="006753AA">
      <w:pPr>
        <w:pStyle w:val="Text"/>
        <w:spacing w:before="120" w:line="276" w:lineRule="auto"/>
        <w:rPr>
          <w:szCs w:val="24"/>
          <w:lang w:val="en-US"/>
        </w:rPr>
      </w:pPr>
      <w:r>
        <w:rPr>
          <w:szCs w:val="24"/>
          <w:lang w:val="en-US"/>
        </w:rPr>
        <w:t>Fee is withheld from the Clearing Members in Russian rubles in separate sums for recording collateral in each of these currencies for which fee for recording collateral is charged.</w:t>
      </w:r>
    </w:p>
    <w:p w:rsidR="00EF0FF0" w:rsidRPr="00872833" w:rsidRDefault="00EF0FF0" w:rsidP="00872833">
      <w:pPr>
        <w:spacing w:before="120" w:after="120" w:line="276" w:lineRule="auto"/>
        <w:jc w:val="center"/>
        <w:rPr>
          <w:b/>
          <w:szCs w:val="24"/>
        </w:rPr>
      </w:pPr>
      <w:proofErr w:type="spellStart"/>
      <w:r w:rsidRPr="00872833">
        <w:rPr>
          <w:b/>
          <w:szCs w:val="24"/>
        </w:rPr>
        <w:t>Rate</w:t>
      </w:r>
      <w:proofErr w:type="spellEnd"/>
      <w:r w:rsidRPr="00872833">
        <w:rPr>
          <w:b/>
          <w:szCs w:val="24"/>
        </w:rPr>
        <w:t xml:space="preserve"> </w:t>
      </w:r>
      <w:proofErr w:type="spellStart"/>
      <w:r w:rsidRPr="00872833">
        <w:rPr>
          <w:b/>
          <w:szCs w:val="24"/>
        </w:rPr>
        <w:t>calculation</w:t>
      </w:r>
      <w:proofErr w:type="spellEnd"/>
    </w:p>
    <w:p w:rsidR="00EF0FF0" w:rsidRDefault="00EF0FF0" w:rsidP="006753AA">
      <w:pPr>
        <w:pStyle w:val="Text"/>
        <w:spacing w:before="120" w:line="276" w:lineRule="auto"/>
        <w:rPr>
          <w:szCs w:val="24"/>
          <w:lang w:val="en-US"/>
        </w:rPr>
      </w:pPr>
      <w:r>
        <w:rPr>
          <w:szCs w:val="24"/>
          <w:lang w:val="en-US"/>
        </w:rPr>
        <w:t xml:space="preserve">Since </w:t>
      </w:r>
      <w:r w:rsidRPr="00872833">
        <w:rPr>
          <w:b/>
          <w:szCs w:val="24"/>
          <w:lang w:val="en-US"/>
        </w:rPr>
        <w:t>01.01.2020</w:t>
      </w:r>
      <w:r>
        <w:rPr>
          <w:szCs w:val="24"/>
          <w:lang w:val="en-US"/>
        </w:rPr>
        <w:t xml:space="preserve"> new methodology is used for the calculation of the rate of the fee for recording individual clearing collateral and the “oth</w:t>
      </w:r>
      <w:bookmarkStart w:id="0" w:name="_GoBack"/>
      <w:bookmarkEnd w:id="0"/>
      <w:r>
        <w:rPr>
          <w:szCs w:val="24"/>
          <w:lang w:val="en-US"/>
        </w:rPr>
        <w:t xml:space="preserve">er collateral” type in the </w:t>
      </w:r>
      <w:r w:rsidRPr="00EF0FF0">
        <w:rPr>
          <w:szCs w:val="24"/>
          <w:u w:val="single"/>
          <w:lang w:val="en-US"/>
        </w:rPr>
        <w:t>foreign currency</w:t>
      </w:r>
      <w:r>
        <w:rPr>
          <w:szCs w:val="24"/>
          <w:lang w:val="en-US"/>
        </w:rPr>
        <w:t>.</w:t>
      </w:r>
    </w:p>
    <w:p w:rsidR="00EF0FF0" w:rsidRDefault="00EF0FF0" w:rsidP="006753AA">
      <w:pPr>
        <w:pStyle w:val="Text"/>
        <w:spacing w:before="120" w:line="276" w:lineRule="auto"/>
        <w:rPr>
          <w:szCs w:val="24"/>
          <w:lang w:val="en-US"/>
        </w:rPr>
      </w:pPr>
    </w:p>
    <w:tbl>
      <w:tblPr>
        <w:tblW w:w="946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20" w:firstRow="1" w:lastRow="0" w:firstColumn="0" w:lastColumn="0" w:noHBand="0" w:noVBand="1"/>
      </w:tblPr>
      <w:tblGrid>
        <w:gridCol w:w="1384"/>
        <w:gridCol w:w="8080"/>
      </w:tblGrid>
      <w:tr w:rsidR="00EF0FF0" w:rsidRPr="0091797E" w:rsidTr="00D0650B">
        <w:trPr>
          <w:trHeight w:val="558"/>
        </w:trPr>
        <w:tc>
          <w:tcPr>
            <w:tcW w:w="1384" w:type="dxa"/>
            <w:shd w:val="clear" w:color="auto" w:fill="auto"/>
            <w:hideMark/>
          </w:tcPr>
          <w:p w:rsidR="00EF0FF0" w:rsidRPr="00EF0FF0" w:rsidRDefault="00EF0FF0" w:rsidP="00D0650B">
            <w:pPr>
              <w:pStyle w:val="Text"/>
              <w:spacing w:before="120" w:line="276" w:lineRule="auto"/>
              <w:jc w:val="center"/>
              <w:rPr>
                <w:sz w:val="22"/>
                <w:szCs w:val="24"/>
                <w:lang w:val="en-US"/>
              </w:rPr>
            </w:pPr>
            <w:r>
              <w:rPr>
                <w:bCs/>
                <w:sz w:val="22"/>
                <w:szCs w:val="24"/>
                <w:lang w:val="en-US"/>
              </w:rPr>
              <w:t>Currency</w:t>
            </w:r>
          </w:p>
        </w:tc>
        <w:tc>
          <w:tcPr>
            <w:tcW w:w="8080" w:type="dxa"/>
            <w:shd w:val="clear" w:color="auto" w:fill="auto"/>
            <w:hideMark/>
          </w:tcPr>
          <w:p w:rsidR="00EF0FF0" w:rsidRPr="0091797E" w:rsidRDefault="00EF0FF0" w:rsidP="00EF0FF0">
            <w:pPr>
              <w:pStyle w:val="Text"/>
              <w:spacing w:before="120" w:line="276" w:lineRule="auto"/>
              <w:jc w:val="center"/>
              <w:rPr>
                <w:sz w:val="22"/>
                <w:szCs w:val="24"/>
              </w:rPr>
            </w:pPr>
            <w:r>
              <w:rPr>
                <w:bCs/>
                <w:sz w:val="22"/>
                <w:szCs w:val="24"/>
                <w:lang w:val="en-US"/>
              </w:rPr>
              <w:t>Rate calculation</w:t>
            </w:r>
            <w:r>
              <w:rPr>
                <w:rStyle w:val="a5"/>
                <w:bCs/>
                <w:sz w:val="22"/>
                <w:szCs w:val="24"/>
                <w:lang w:val="en-US"/>
              </w:rPr>
              <w:footnoteReference w:id="1"/>
            </w:r>
          </w:p>
        </w:tc>
      </w:tr>
      <w:tr w:rsidR="00EF0FF0" w:rsidRPr="0091797E" w:rsidTr="00D0650B">
        <w:trPr>
          <w:trHeight w:val="758"/>
        </w:trPr>
        <w:tc>
          <w:tcPr>
            <w:tcW w:w="1384" w:type="dxa"/>
            <w:shd w:val="clear" w:color="auto" w:fill="auto"/>
            <w:hideMark/>
          </w:tcPr>
          <w:p w:rsidR="00EF0FF0" w:rsidRPr="0091797E" w:rsidRDefault="00EF0FF0" w:rsidP="00D0650B">
            <w:pPr>
              <w:pStyle w:val="Text"/>
              <w:spacing w:before="120" w:line="276" w:lineRule="auto"/>
              <w:jc w:val="center"/>
              <w:rPr>
                <w:sz w:val="22"/>
                <w:szCs w:val="24"/>
              </w:rPr>
            </w:pPr>
            <w:r w:rsidRPr="0091797E">
              <w:rPr>
                <w:bCs/>
                <w:sz w:val="22"/>
                <w:szCs w:val="24"/>
                <w:lang w:val="en-US"/>
              </w:rPr>
              <w:t>EUR</w:t>
            </w:r>
          </w:p>
        </w:tc>
        <w:tc>
          <w:tcPr>
            <w:tcW w:w="8080" w:type="dxa"/>
            <w:shd w:val="clear" w:color="auto" w:fill="auto"/>
            <w:hideMark/>
          </w:tcPr>
          <w:p w:rsidR="00EF0FF0" w:rsidRPr="0091797E" w:rsidRDefault="00DF2A49" w:rsidP="00DF2A49">
            <w:pPr>
              <w:pStyle w:val="Text"/>
              <w:spacing w:before="120" w:line="276" w:lineRule="auto"/>
              <w:rPr>
                <w:sz w:val="22"/>
                <w:szCs w:val="24"/>
              </w:rPr>
            </w:pPr>
            <w:r>
              <w:rPr>
                <w:sz w:val="22"/>
                <w:szCs w:val="24"/>
                <w:lang w:val="en-US"/>
              </w:rPr>
              <w:t xml:space="preserve">rate of the European Central Bank on the last day of the month when service is provided </w:t>
            </w:r>
            <w:r>
              <w:rPr>
                <w:sz w:val="22"/>
                <w:szCs w:val="24"/>
              </w:rPr>
              <w:t xml:space="preserve"> (</w:t>
            </w:r>
            <w:proofErr w:type="spellStart"/>
            <w:r>
              <w:rPr>
                <w:sz w:val="22"/>
                <w:szCs w:val="24"/>
              </w:rPr>
              <w:t>in</w:t>
            </w:r>
            <w:proofErr w:type="spellEnd"/>
            <w:r w:rsidR="00EF0FF0" w:rsidRPr="0091797E">
              <w:rPr>
                <w:sz w:val="22"/>
                <w:szCs w:val="24"/>
              </w:rPr>
              <w:t xml:space="preserve"> % </w:t>
            </w:r>
            <w:r>
              <w:rPr>
                <w:sz w:val="22"/>
                <w:szCs w:val="24"/>
                <w:lang w:val="en-US"/>
              </w:rPr>
              <w:t>per annum</w:t>
            </w:r>
            <w:r>
              <w:rPr>
                <w:sz w:val="22"/>
                <w:szCs w:val="24"/>
              </w:rPr>
              <w:t xml:space="preserve">) + (-0,2%) </w:t>
            </w:r>
            <w:proofErr w:type="spellStart"/>
            <w:r>
              <w:rPr>
                <w:sz w:val="22"/>
                <w:szCs w:val="24"/>
              </w:rPr>
              <w:t>per</w:t>
            </w:r>
            <w:proofErr w:type="spellEnd"/>
            <w:r>
              <w:rPr>
                <w:sz w:val="22"/>
                <w:szCs w:val="24"/>
              </w:rPr>
              <w:t xml:space="preserve"> </w:t>
            </w:r>
            <w:proofErr w:type="spellStart"/>
            <w:r>
              <w:rPr>
                <w:sz w:val="22"/>
                <w:szCs w:val="24"/>
              </w:rPr>
              <w:t>annum</w:t>
            </w:r>
            <w:proofErr w:type="spellEnd"/>
          </w:p>
        </w:tc>
      </w:tr>
      <w:tr w:rsidR="00EF0FF0" w:rsidRPr="0091797E" w:rsidTr="00D0650B">
        <w:trPr>
          <w:trHeight w:val="827"/>
        </w:trPr>
        <w:tc>
          <w:tcPr>
            <w:tcW w:w="1384" w:type="dxa"/>
            <w:shd w:val="clear" w:color="auto" w:fill="auto"/>
            <w:hideMark/>
          </w:tcPr>
          <w:p w:rsidR="00EF0FF0" w:rsidRPr="0091797E" w:rsidRDefault="00EF0FF0" w:rsidP="00D0650B">
            <w:pPr>
              <w:pStyle w:val="Text"/>
              <w:spacing w:before="120" w:line="276" w:lineRule="auto"/>
              <w:jc w:val="center"/>
              <w:rPr>
                <w:sz w:val="22"/>
                <w:szCs w:val="24"/>
              </w:rPr>
            </w:pPr>
            <w:r w:rsidRPr="0091797E">
              <w:rPr>
                <w:bCs/>
                <w:sz w:val="22"/>
                <w:szCs w:val="24"/>
              </w:rPr>
              <w:t>CHF</w:t>
            </w:r>
          </w:p>
        </w:tc>
        <w:tc>
          <w:tcPr>
            <w:tcW w:w="8080" w:type="dxa"/>
            <w:shd w:val="clear" w:color="auto" w:fill="auto"/>
            <w:hideMark/>
          </w:tcPr>
          <w:p w:rsidR="00EF0FF0" w:rsidRPr="0091797E" w:rsidRDefault="00DF2A49" w:rsidP="00DF2A49">
            <w:pPr>
              <w:pStyle w:val="Text"/>
              <w:spacing w:before="120" w:line="276" w:lineRule="auto"/>
              <w:rPr>
                <w:sz w:val="22"/>
                <w:szCs w:val="24"/>
              </w:rPr>
            </w:pPr>
            <w:r w:rsidRPr="00DF2A49">
              <w:rPr>
                <w:sz w:val="22"/>
                <w:szCs w:val="22"/>
                <w:lang w:val="en-US"/>
              </w:rPr>
              <w:t xml:space="preserve">rate of the </w:t>
            </w:r>
            <w:r>
              <w:rPr>
                <w:sz w:val="22"/>
                <w:szCs w:val="22"/>
                <w:lang w:val="en-US"/>
              </w:rPr>
              <w:t>Swiss National</w:t>
            </w:r>
            <w:r w:rsidRPr="00DF2A49">
              <w:rPr>
                <w:sz w:val="22"/>
                <w:szCs w:val="22"/>
                <w:lang w:val="en-US"/>
              </w:rPr>
              <w:t xml:space="preserve"> </w:t>
            </w:r>
            <w:r>
              <w:rPr>
                <w:sz w:val="22"/>
                <w:szCs w:val="22"/>
                <w:lang w:val="en-US"/>
              </w:rPr>
              <w:t>B</w:t>
            </w:r>
            <w:r w:rsidRPr="00DF2A49">
              <w:rPr>
                <w:sz w:val="22"/>
                <w:szCs w:val="22"/>
                <w:lang w:val="en-US"/>
              </w:rPr>
              <w:t xml:space="preserve">ank on the last day of the month when service is provided </w:t>
            </w:r>
            <w:r>
              <w:rPr>
                <w:sz w:val="22"/>
                <w:szCs w:val="22"/>
                <w:lang w:val="en-US"/>
              </w:rPr>
              <w:br/>
            </w:r>
            <w:r>
              <w:rPr>
                <w:sz w:val="22"/>
                <w:szCs w:val="22"/>
              </w:rPr>
              <w:t>(</w:t>
            </w:r>
            <w:proofErr w:type="spellStart"/>
            <w:r>
              <w:rPr>
                <w:sz w:val="22"/>
                <w:szCs w:val="22"/>
              </w:rPr>
              <w:t>in</w:t>
            </w:r>
            <w:proofErr w:type="spellEnd"/>
            <w:r>
              <w:rPr>
                <w:sz w:val="22"/>
                <w:szCs w:val="22"/>
              </w:rPr>
              <w:t xml:space="preserve"> </w:t>
            </w:r>
            <w:r w:rsidR="00EF0FF0" w:rsidRPr="0091797E">
              <w:rPr>
                <w:sz w:val="22"/>
                <w:szCs w:val="22"/>
              </w:rPr>
              <w:t xml:space="preserve">% </w:t>
            </w:r>
            <w:r>
              <w:rPr>
                <w:sz w:val="22"/>
                <w:szCs w:val="22"/>
                <w:lang w:val="en-US"/>
              </w:rPr>
              <w:t>per annum</w:t>
            </w:r>
            <w:r>
              <w:rPr>
                <w:sz w:val="22"/>
                <w:szCs w:val="22"/>
              </w:rPr>
              <w:t xml:space="preserve">) + (-0,5%) </w:t>
            </w:r>
            <w:proofErr w:type="spellStart"/>
            <w:r>
              <w:rPr>
                <w:sz w:val="22"/>
                <w:szCs w:val="22"/>
              </w:rPr>
              <w:t>per</w:t>
            </w:r>
            <w:proofErr w:type="spellEnd"/>
            <w:r>
              <w:rPr>
                <w:sz w:val="22"/>
                <w:szCs w:val="22"/>
              </w:rPr>
              <w:t xml:space="preserve"> </w:t>
            </w:r>
            <w:proofErr w:type="spellStart"/>
            <w:r>
              <w:rPr>
                <w:sz w:val="22"/>
                <w:szCs w:val="22"/>
              </w:rPr>
              <w:t>annum</w:t>
            </w:r>
            <w:proofErr w:type="spellEnd"/>
          </w:p>
        </w:tc>
      </w:tr>
    </w:tbl>
    <w:p w:rsidR="006753AA" w:rsidRDefault="00DF2A49" w:rsidP="006753AA">
      <w:pPr>
        <w:pStyle w:val="Text"/>
        <w:spacing w:before="120" w:line="276" w:lineRule="auto"/>
        <w:rPr>
          <w:szCs w:val="24"/>
          <w:lang w:val="en-US"/>
        </w:rPr>
      </w:pPr>
      <w:r>
        <w:rPr>
          <w:szCs w:val="24"/>
          <w:lang w:val="en-US"/>
        </w:rPr>
        <w:t xml:space="preserve">Effective rate for the calculation of the fee for recording collateral in </w:t>
      </w:r>
      <w:r w:rsidR="004C7B37">
        <w:rPr>
          <w:szCs w:val="24"/>
          <w:lang w:val="en-US"/>
        </w:rPr>
        <w:t>precious metal is calculated in the following way:</w:t>
      </w:r>
    </w:p>
    <w:p w:rsidR="004C7B37" w:rsidRDefault="004C7B37" w:rsidP="006753AA">
      <w:pPr>
        <w:pStyle w:val="Text"/>
        <w:spacing w:before="120" w:line="276" w:lineRule="auto"/>
        <w:rPr>
          <w:szCs w:val="24"/>
          <w:lang w:val="en-US"/>
        </w:rPr>
      </w:pPr>
      <w:proofErr w:type="spellStart"/>
      <w:r w:rsidRPr="004C7B37">
        <w:rPr>
          <w:szCs w:val="24"/>
          <w:lang w:val="en-US"/>
        </w:rPr>
        <w:t>Sj</w:t>
      </w:r>
      <w:proofErr w:type="spellEnd"/>
      <w:r w:rsidRPr="004C7B37">
        <w:rPr>
          <w:szCs w:val="24"/>
          <w:lang w:val="en-US"/>
        </w:rPr>
        <w:t xml:space="preserve"> =ROUND (</w:t>
      </w:r>
      <w:proofErr w:type="spellStart"/>
      <w:r w:rsidRPr="004C7B37">
        <w:rPr>
          <w:szCs w:val="24"/>
          <w:lang w:val="en-US"/>
        </w:rPr>
        <w:t>COMj</w:t>
      </w:r>
      <w:proofErr w:type="spellEnd"/>
      <w:r w:rsidRPr="004C7B37">
        <w:rPr>
          <w:szCs w:val="24"/>
          <w:lang w:val="en-US"/>
        </w:rPr>
        <w:t>/</w:t>
      </w:r>
      <w:proofErr w:type="spellStart"/>
      <w:r w:rsidRPr="004C7B37">
        <w:rPr>
          <w:szCs w:val="24"/>
          <w:lang w:val="en-US"/>
        </w:rPr>
        <w:t>BALj</w:t>
      </w:r>
      <w:proofErr w:type="spellEnd"/>
      <w:r w:rsidRPr="004C7B37">
        <w:rPr>
          <w:szCs w:val="24"/>
          <w:lang w:val="en-US"/>
        </w:rPr>
        <w:t xml:space="preserve"> × y × 100; 10)</w:t>
      </w:r>
      <w:r>
        <w:rPr>
          <w:szCs w:val="24"/>
          <w:lang w:val="en-US"/>
        </w:rPr>
        <w:t>,</w:t>
      </w:r>
    </w:p>
    <w:p w:rsidR="004C7B37" w:rsidRDefault="004C7B37" w:rsidP="006753AA">
      <w:pPr>
        <w:pStyle w:val="Text"/>
        <w:spacing w:before="120" w:line="276" w:lineRule="auto"/>
        <w:rPr>
          <w:szCs w:val="24"/>
          <w:lang w:val="en-US"/>
        </w:rPr>
      </w:pPr>
      <w:r>
        <w:rPr>
          <w:szCs w:val="24"/>
          <w:lang w:val="en-US"/>
        </w:rPr>
        <w:t>where</w:t>
      </w:r>
    </w:p>
    <w:p w:rsidR="004C7B37" w:rsidRDefault="004C7B37" w:rsidP="006753AA">
      <w:pPr>
        <w:pStyle w:val="Text"/>
        <w:spacing w:before="120" w:line="276" w:lineRule="auto"/>
        <w:rPr>
          <w:szCs w:val="24"/>
          <w:lang w:val="en-US"/>
        </w:rPr>
      </w:pPr>
      <w:proofErr w:type="spellStart"/>
      <w:r w:rsidRPr="004C7B37">
        <w:rPr>
          <w:szCs w:val="24"/>
        </w:rPr>
        <w:t>S</w:t>
      </w:r>
      <w:r w:rsidRPr="004C7B37">
        <w:rPr>
          <w:szCs w:val="24"/>
          <w:vertAlign w:val="subscript"/>
        </w:rPr>
        <w:t>j</w:t>
      </w:r>
      <w:proofErr w:type="spellEnd"/>
      <w:r>
        <w:rPr>
          <w:szCs w:val="24"/>
          <w:vertAlign w:val="subscript"/>
          <w:lang w:val="en-US"/>
        </w:rPr>
        <w:t xml:space="preserve"> </w:t>
      </w:r>
      <w:r>
        <w:rPr>
          <w:szCs w:val="24"/>
          <w:lang w:val="en-US"/>
        </w:rPr>
        <w:t>is the effective rate in per cent per annum for precious metal j, rounded to 10 decimals,</w:t>
      </w:r>
    </w:p>
    <w:p w:rsidR="004C7B37" w:rsidRDefault="00996731" w:rsidP="006753AA">
      <w:pPr>
        <w:pStyle w:val="Text"/>
        <w:spacing w:before="120" w:line="276" w:lineRule="auto"/>
        <w:rPr>
          <w:szCs w:val="24"/>
          <w:lang w:val="en-US"/>
        </w:rPr>
      </w:pPr>
      <w:proofErr w:type="spellStart"/>
      <w:r w:rsidRPr="00996731">
        <w:rPr>
          <w:szCs w:val="24"/>
          <w:lang w:val="en-US"/>
        </w:rPr>
        <w:t>COM</w:t>
      </w:r>
      <w:r w:rsidRPr="00996731">
        <w:rPr>
          <w:szCs w:val="24"/>
          <w:vertAlign w:val="subscript"/>
          <w:lang w:val="en-US"/>
        </w:rPr>
        <w:t>j</w:t>
      </w:r>
      <w:proofErr w:type="spellEnd"/>
      <w:r w:rsidR="004C7B37" w:rsidRPr="004C7B37">
        <w:rPr>
          <w:szCs w:val="24"/>
          <w:lang w:val="en-US"/>
        </w:rPr>
        <w:t xml:space="preserve"> is the </w:t>
      </w:r>
      <w:r>
        <w:rPr>
          <w:szCs w:val="24"/>
          <w:lang w:val="en-US"/>
        </w:rPr>
        <w:t>total fee under all correspondent banks,</w:t>
      </w:r>
    </w:p>
    <w:p w:rsidR="00996731" w:rsidRDefault="00996731" w:rsidP="006753AA">
      <w:pPr>
        <w:pStyle w:val="Text"/>
        <w:spacing w:before="120" w:line="276" w:lineRule="auto"/>
        <w:rPr>
          <w:szCs w:val="24"/>
          <w:lang w:val="en-US"/>
        </w:rPr>
      </w:pPr>
      <w:r>
        <w:rPr>
          <w:szCs w:val="24"/>
          <w:lang w:val="en-US"/>
        </w:rPr>
        <w:t>y is the number of calendar days in the year (365 or 366).</w:t>
      </w:r>
    </w:p>
    <w:p w:rsidR="00996731" w:rsidRDefault="00996731" w:rsidP="006753AA">
      <w:pPr>
        <w:pStyle w:val="Text"/>
        <w:spacing w:before="120" w:line="276" w:lineRule="auto"/>
        <w:rPr>
          <w:szCs w:val="24"/>
          <w:lang w:val="en-US"/>
        </w:rPr>
      </w:pPr>
      <w:proofErr w:type="spellStart"/>
      <w:r w:rsidRPr="00996731">
        <w:rPr>
          <w:szCs w:val="24"/>
        </w:rPr>
        <w:t>BAL</w:t>
      </w:r>
      <w:r w:rsidRPr="00996731">
        <w:rPr>
          <w:szCs w:val="24"/>
          <w:vertAlign w:val="subscript"/>
        </w:rPr>
        <w:t>j</w:t>
      </w:r>
      <w:proofErr w:type="spellEnd"/>
      <w:r>
        <w:rPr>
          <w:szCs w:val="24"/>
          <w:vertAlign w:val="subscript"/>
          <w:lang w:val="en-US"/>
        </w:rPr>
        <w:t xml:space="preserve"> </w:t>
      </w:r>
      <w:r>
        <w:rPr>
          <w:szCs w:val="24"/>
          <w:lang w:val="en-US"/>
        </w:rPr>
        <w:t>is the aggregated sum of opening balances in precious metal j under all IMA/TBA of Clearing Members, fixed to Settlement Accounts, for the calendar month;</w:t>
      </w:r>
    </w:p>
    <w:p w:rsidR="00996731" w:rsidRPr="00996731" w:rsidRDefault="00996731" w:rsidP="00996731">
      <w:pPr>
        <w:spacing w:line="276" w:lineRule="auto"/>
        <w:rPr>
          <w:rFonts w:cs="Arial"/>
          <w:noProof/>
          <w:szCs w:val="24"/>
          <w:vertAlign w:val="subscript"/>
        </w:rPr>
      </w:pPr>
      <w:r w:rsidRPr="00996731">
        <w:rPr>
          <w:rFonts w:cs="Arial"/>
          <w:noProof/>
          <w:szCs w:val="24"/>
        </w:rPr>
        <w:t xml:space="preserve">                 </w:t>
      </w:r>
      <w:r w:rsidRPr="00996731">
        <w:rPr>
          <w:rFonts w:cs="Arial"/>
          <w:noProof/>
          <w:szCs w:val="24"/>
          <w:vertAlign w:val="subscript"/>
        </w:rPr>
        <w:t xml:space="preserve"> </w:t>
      </w:r>
      <w:r w:rsidRPr="00996731">
        <w:rPr>
          <w:rFonts w:cs="Arial"/>
          <w:noProof/>
          <w:szCs w:val="24"/>
          <w:vertAlign w:val="subscript"/>
          <w:lang w:val="en-US"/>
        </w:rPr>
        <w:t>m</w:t>
      </w:r>
    </w:p>
    <w:p w:rsidR="00996731" w:rsidRPr="00996731" w:rsidRDefault="00996731" w:rsidP="00996731">
      <w:pPr>
        <w:spacing w:line="276" w:lineRule="auto"/>
        <w:ind w:firstLine="0"/>
        <w:rPr>
          <w:szCs w:val="24"/>
        </w:rPr>
      </w:pPr>
      <w:proofErr w:type="spellStart"/>
      <w:r w:rsidRPr="00996731">
        <w:rPr>
          <w:szCs w:val="24"/>
          <w:lang w:val="en-US"/>
        </w:rPr>
        <w:t>BAL</w:t>
      </w:r>
      <w:r w:rsidRPr="00996731">
        <w:rPr>
          <w:szCs w:val="24"/>
          <w:vertAlign w:val="subscript"/>
          <w:lang w:val="en-US"/>
        </w:rPr>
        <w:t>j</w:t>
      </w:r>
      <w:proofErr w:type="spellEnd"/>
      <w:r w:rsidRPr="00996731">
        <w:rPr>
          <w:szCs w:val="24"/>
        </w:rPr>
        <w:t xml:space="preserve"> =∑</w:t>
      </w:r>
      <w:r w:rsidRPr="00996731">
        <w:rPr>
          <w:szCs w:val="24"/>
          <w:vertAlign w:val="subscript"/>
        </w:rPr>
        <w:t>РК</w:t>
      </w:r>
      <w:r w:rsidRPr="00996731">
        <w:rPr>
          <w:szCs w:val="24"/>
        </w:rPr>
        <w:t xml:space="preserve">∑ </w:t>
      </w:r>
      <w:r w:rsidRPr="00996731">
        <w:rPr>
          <w:szCs w:val="24"/>
          <w:lang w:val="en-US"/>
        </w:rPr>
        <w:t>balance</w:t>
      </w:r>
      <w:r w:rsidRPr="00996731">
        <w:rPr>
          <w:szCs w:val="24"/>
          <w:vertAlign w:val="subscript"/>
        </w:rPr>
        <w:t>РК</w:t>
      </w:r>
      <w:proofErr w:type="spellStart"/>
      <w:r w:rsidRPr="00996731">
        <w:rPr>
          <w:szCs w:val="24"/>
          <w:vertAlign w:val="subscript"/>
          <w:lang w:val="en-US"/>
        </w:rPr>
        <w:t>ji</w:t>
      </w:r>
      <w:proofErr w:type="spellEnd"/>
      <w:r w:rsidRPr="00996731">
        <w:rPr>
          <w:szCs w:val="24"/>
        </w:rPr>
        <w:t xml:space="preserve">, </w:t>
      </w:r>
      <w:proofErr w:type="spellStart"/>
      <w:r>
        <w:rPr>
          <w:szCs w:val="24"/>
        </w:rPr>
        <w:t>where</w:t>
      </w:r>
      <w:proofErr w:type="spellEnd"/>
    </w:p>
    <w:p w:rsidR="00996731" w:rsidRPr="00996731" w:rsidRDefault="00996731" w:rsidP="00996731">
      <w:pPr>
        <w:spacing w:line="276" w:lineRule="auto"/>
        <w:rPr>
          <w:rFonts w:cs="Arial"/>
          <w:noProof/>
          <w:szCs w:val="24"/>
          <w:vertAlign w:val="subscript"/>
        </w:rPr>
      </w:pPr>
      <w:r w:rsidRPr="00996731">
        <w:rPr>
          <w:rFonts w:cs="Arial"/>
          <w:noProof/>
          <w:szCs w:val="24"/>
        </w:rPr>
        <w:t xml:space="preserve">                 </w:t>
      </w:r>
      <w:r w:rsidRPr="00996731">
        <w:rPr>
          <w:rFonts w:cs="Arial"/>
          <w:noProof/>
          <w:szCs w:val="24"/>
          <w:vertAlign w:val="subscript"/>
          <w:lang w:val="en-US"/>
        </w:rPr>
        <w:t>i</w:t>
      </w:r>
      <w:r w:rsidRPr="00996731">
        <w:rPr>
          <w:rFonts w:cs="Arial"/>
          <w:noProof/>
          <w:szCs w:val="24"/>
          <w:vertAlign w:val="subscript"/>
        </w:rPr>
        <w:t>=1</w:t>
      </w:r>
    </w:p>
    <w:p w:rsidR="00996731" w:rsidRDefault="00996731" w:rsidP="006753AA">
      <w:pPr>
        <w:pStyle w:val="Text"/>
        <w:spacing w:before="120" w:line="276" w:lineRule="auto"/>
        <w:rPr>
          <w:rFonts w:cs="Times New Roman"/>
          <w:iCs w:val="0"/>
          <w:szCs w:val="24"/>
          <w:lang w:val="en-US"/>
        </w:rPr>
      </w:pPr>
      <w:proofErr w:type="spellStart"/>
      <w:r w:rsidRPr="00996731">
        <w:rPr>
          <w:rFonts w:cs="Times New Roman"/>
          <w:iCs w:val="0"/>
          <w:szCs w:val="24"/>
          <w:lang w:val="en-US"/>
        </w:rPr>
        <w:t>balance</w:t>
      </w:r>
      <w:r w:rsidRPr="00996731">
        <w:rPr>
          <w:rFonts w:cs="Times New Roman"/>
          <w:iCs w:val="0"/>
          <w:szCs w:val="24"/>
          <w:vertAlign w:val="subscript"/>
          <w:lang w:val="en-US"/>
        </w:rPr>
        <w:t>РКji</w:t>
      </w:r>
      <w:proofErr w:type="spellEnd"/>
      <w:r w:rsidRPr="00996731">
        <w:rPr>
          <w:rFonts w:cs="Times New Roman"/>
          <w:iCs w:val="0"/>
          <w:szCs w:val="24"/>
          <w:lang w:val="en-US"/>
        </w:rPr>
        <w:t xml:space="preserve"> </w:t>
      </w:r>
      <w:r w:rsidRPr="00996731">
        <w:rPr>
          <w:rFonts w:cs="Times New Roman"/>
          <w:iCs w:val="0"/>
          <w:szCs w:val="24"/>
          <w:lang w:val="en-US"/>
        </w:rPr>
        <w:t xml:space="preserve">is the sum of opening balances </w:t>
      </w:r>
      <w:r>
        <w:rPr>
          <w:rFonts w:cs="Times New Roman"/>
          <w:iCs w:val="0"/>
          <w:szCs w:val="24"/>
          <w:lang w:val="en-US"/>
        </w:rPr>
        <w:t xml:space="preserve">under TBA of the Clearing Member, opened within the Settlement Account, in the precious metal j on the calendar day </w:t>
      </w:r>
      <w:proofErr w:type="spellStart"/>
      <w:r>
        <w:rPr>
          <w:rFonts w:cs="Times New Roman"/>
          <w:iCs w:val="0"/>
          <w:szCs w:val="24"/>
          <w:lang w:val="en-US"/>
        </w:rPr>
        <w:t>i</w:t>
      </w:r>
      <w:proofErr w:type="spellEnd"/>
      <w:r>
        <w:rPr>
          <w:rFonts w:cs="Times New Roman"/>
          <w:iCs w:val="0"/>
          <w:szCs w:val="24"/>
          <w:lang w:val="en-US"/>
        </w:rPr>
        <w:t xml:space="preserve"> of the month (for non-working days opening balance of the last working day before the non-working day shall be used);</w:t>
      </w:r>
    </w:p>
    <w:p w:rsidR="00996731" w:rsidRDefault="00996731" w:rsidP="006753AA">
      <w:pPr>
        <w:pStyle w:val="Text"/>
        <w:spacing w:before="120" w:line="276" w:lineRule="auto"/>
        <w:rPr>
          <w:rFonts w:cs="Times New Roman"/>
          <w:iCs w:val="0"/>
          <w:szCs w:val="24"/>
          <w:lang w:val="en-US"/>
        </w:rPr>
      </w:pPr>
      <w:r>
        <w:rPr>
          <w:rFonts w:cs="Times New Roman"/>
          <w:iCs w:val="0"/>
          <w:szCs w:val="24"/>
          <w:lang w:val="en-US"/>
        </w:rPr>
        <w:t>m is the number of calendar days in the reporting month;</w:t>
      </w:r>
    </w:p>
    <w:p w:rsidR="00996731" w:rsidRPr="00996731" w:rsidRDefault="00996731" w:rsidP="006753AA">
      <w:pPr>
        <w:pStyle w:val="Text"/>
        <w:spacing w:before="120" w:line="276" w:lineRule="auto"/>
        <w:rPr>
          <w:szCs w:val="24"/>
          <w:lang w:val="en-US"/>
        </w:rPr>
      </w:pPr>
      <w:r>
        <w:rPr>
          <w:rFonts w:cs="Times New Roman"/>
          <w:iCs w:val="0"/>
          <w:szCs w:val="24"/>
        </w:rPr>
        <w:t xml:space="preserve">РК </w:t>
      </w:r>
      <w:r>
        <w:rPr>
          <w:rFonts w:cs="Times New Roman"/>
          <w:iCs w:val="0"/>
          <w:szCs w:val="24"/>
          <w:lang w:val="en-US"/>
        </w:rPr>
        <w:t>is the number of all Settlement Accounts.</w:t>
      </w:r>
    </w:p>
    <w:p w:rsidR="006753AA" w:rsidRPr="003A4543" w:rsidRDefault="006753AA" w:rsidP="006753AA">
      <w:pPr>
        <w:spacing w:line="276" w:lineRule="auto"/>
        <w:rPr>
          <w:szCs w:val="24"/>
          <w:lang w:val="en-US"/>
        </w:rPr>
      </w:pPr>
    </w:p>
    <w:p w:rsidR="009F32A6" w:rsidRPr="006753AA" w:rsidRDefault="009F32A6">
      <w:pPr>
        <w:rPr>
          <w:lang w:val="en-US"/>
        </w:rPr>
      </w:pPr>
    </w:p>
    <w:sectPr w:rsidR="009F32A6" w:rsidRPr="006753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318" w:rsidRDefault="00F31318" w:rsidP="00EF0FF0">
      <w:r>
        <w:separator/>
      </w:r>
    </w:p>
  </w:endnote>
  <w:endnote w:type="continuationSeparator" w:id="0">
    <w:p w:rsidR="00F31318" w:rsidRDefault="00F31318" w:rsidP="00EF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318" w:rsidRDefault="00F31318" w:rsidP="00EF0FF0">
      <w:r>
        <w:separator/>
      </w:r>
    </w:p>
  </w:footnote>
  <w:footnote w:type="continuationSeparator" w:id="0">
    <w:p w:rsidR="00F31318" w:rsidRDefault="00F31318" w:rsidP="00EF0FF0">
      <w:r>
        <w:continuationSeparator/>
      </w:r>
    </w:p>
  </w:footnote>
  <w:footnote w:id="1">
    <w:p w:rsidR="00EF0FF0" w:rsidRPr="00DF2A49" w:rsidRDefault="00EF0FF0">
      <w:pPr>
        <w:pStyle w:val="a3"/>
      </w:pPr>
      <w:r>
        <w:rPr>
          <w:rStyle w:val="a5"/>
        </w:rPr>
        <w:footnoteRef/>
      </w:r>
      <w:r>
        <w:t xml:space="preserve"> </w:t>
      </w:r>
      <w:r>
        <w:rPr>
          <w:lang w:val="en-US"/>
        </w:rPr>
        <w:t>In case if</w:t>
      </w:r>
      <w:r w:rsidR="00DF2A49">
        <w:rPr>
          <w:lang w:val="en-US"/>
        </w:rPr>
        <w:t xml:space="preserve"> the</w:t>
      </w:r>
      <w:r>
        <w:rPr>
          <w:lang w:val="en-US"/>
        </w:rPr>
        <w:t xml:space="preserve"> ECB or SNB</w:t>
      </w:r>
      <w:r w:rsidR="00DF2A49">
        <w:rPr>
          <w:lang w:val="en-US"/>
        </w:rPr>
        <w:t xml:space="preserve"> changes the rate in the middle of the month fee for recording individual clearing collateral or the “other collateral” type in the foreign currency will be calculated in accordance with the rates, set by the ECB and/or by the Swiss National Bank on the last day of the reporting month.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0A"/>
    <w:rsid w:val="000E0F50"/>
    <w:rsid w:val="0013280A"/>
    <w:rsid w:val="001F15F5"/>
    <w:rsid w:val="004C7B37"/>
    <w:rsid w:val="0051424C"/>
    <w:rsid w:val="005A4DF5"/>
    <w:rsid w:val="006753AA"/>
    <w:rsid w:val="00845785"/>
    <w:rsid w:val="00872833"/>
    <w:rsid w:val="00996731"/>
    <w:rsid w:val="009F32A6"/>
    <w:rsid w:val="00D42F7A"/>
    <w:rsid w:val="00DF2A49"/>
    <w:rsid w:val="00EF0FF0"/>
    <w:rsid w:val="00F31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428A1-0691-4893-BAB7-85989D6E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3AA"/>
    <w:pPr>
      <w:widowControl w:val="0"/>
      <w:overflowPunct w:val="0"/>
      <w:autoSpaceDE w:val="0"/>
      <w:autoSpaceDN w:val="0"/>
      <w:adjustRightInd w:val="0"/>
      <w:spacing w:after="0" w:line="240" w:lineRule="auto"/>
      <w:ind w:firstLine="567"/>
      <w:jc w:val="both"/>
      <w:textAlignment w:val="baseline"/>
    </w:pPr>
    <w:rPr>
      <w:rFonts w:ascii="Times New Roman" w:eastAsia="MS Mincho" w:hAnsi="Times New Roman" w:cs="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qFormat/>
    <w:rsid w:val="006753AA"/>
    <w:pPr>
      <w:widowControl/>
      <w:overflowPunct/>
      <w:autoSpaceDE/>
      <w:autoSpaceDN/>
      <w:adjustRightInd/>
      <w:ind w:firstLine="0"/>
      <w:textAlignment w:val="auto"/>
    </w:pPr>
    <w:rPr>
      <w:rFonts w:cs="Arial"/>
      <w:iCs/>
    </w:rPr>
  </w:style>
  <w:style w:type="paragraph" w:styleId="a3">
    <w:name w:val="footnote text"/>
    <w:basedOn w:val="a"/>
    <w:link w:val="a4"/>
    <w:uiPriority w:val="99"/>
    <w:semiHidden/>
    <w:unhideWhenUsed/>
    <w:rsid w:val="00EF0FF0"/>
    <w:rPr>
      <w:sz w:val="20"/>
    </w:rPr>
  </w:style>
  <w:style w:type="character" w:customStyle="1" w:styleId="a4">
    <w:name w:val="Текст сноски Знак"/>
    <w:basedOn w:val="a0"/>
    <w:link w:val="a3"/>
    <w:uiPriority w:val="99"/>
    <w:semiHidden/>
    <w:rsid w:val="00EF0FF0"/>
    <w:rPr>
      <w:rFonts w:ascii="Times New Roman" w:eastAsia="MS Mincho" w:hAnsi="Times New Roman" w:cs="Times New Roman"/>
      <w:sz w:val="20"/>
      <w:szCs w:val="20"/>
      <w:lang w:eastAsia="ru-RU"/>
    </w:rPr>
  </w:style>
  <w:style w:type="character" w:styleId="a5">
    <w:name w:val="footnote reference"/>
    <w:uiPriority w:val="99"/>
    <w:semiHidden/>
    <w:unhideWhenUsed/>
    <w:rsid w:val="00EF0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C347-DA89-41FA-B708-67AFD0EC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Чаптыкова Ирина Витальевна</dc:creator>
  <cp:keywords/>
  <dc:description/>
  <cp:lastModifiedBy>Пак Лилия Олеговна</cp:lastModifiedBy>
  <cp:revision>6</cp:revision>
  <dcterms:created xsi:type="dcterms:W3CDTF">2017-10-11T10:07:00Z</dcterms:created>
  <dcterms:modified xsi:type="dcterms:W3CDTF">2020-02-03T15:19:00Z</dcterms:modified>
</cp:coreProperties>
</file>