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55" w:rsidRDefault="00877855" w:rsidP="00773E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73E47" w:rsidRPr="000A3AE4" w:rsidRDefault="00773E47" w:rsidP="00773E4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A3AE4">
        <w:rPr>
          <w:rFonts w:ascii="Times New Roman" w:hAnsi="Times New Roman"/>
          <w:b/>
          <w:sz w:val="24"/>
          <w:szCs w:val="24"/>
          <w:lang w:val="en-US"/>
        </w:rPr>
        <w:t xml:space="preserve">Stages of clearing changes implementation 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483"/>
        <w:gridCol w:w="2027"/>
        <w:gridCol w:w="6095"/>
        <w:gridCol w:w="2693"/>
      </w:tblGrid>
      <w:tr w:rsidR="00773E47" w:rsidRPr="002A6352" w:rsidTr="00E96E72">
        <w:trPr>
          <w:jc w:val="center"/>
        </w:trPr>
        <w:tc>
          <w:tcPr>
            <w:tcW w:w="439" w:type="dxa"/>
            <w:shd w:val="clear" w:color="auto" w:fill="auto"/>
          </w:tcPr>
          <w:p w:rsidR="00773E47" w:rsidRPr="002A6352" w:rsidRDefault="00773E47" w:rsidP="00E35FBD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6352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83" w:type="dxa"/>
            <w:shd w:val="clear" w:color="auto" w:fill="auto"/>
          </w:tcPr>
          <w:p w:rsidR="00773E47" w:rsidRPr="002A6352" w:rsidRDefault="00773E47" w:rsidP="00E35FBD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Description of the change</w:t>
            </w:r>
          </w:p>
        </w:tc>
        <w:tc>
          <w:tcPr>
            <w:tcW w:w="2027" w:type="dxa"/>
            <w:shd w:val="clear" w:color="auto" w:fill="auto"/>
          </w:tcPr>
          <w:p w:rsidR="00773E47" w:rsidRPr="002A6352" w:rsidRDefault="00773E47" w:rsidP="00E35FBD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Derivatives market</w:t>
            </w:r>
          </w:p>
        </w:tc>
        <w:tc>
          <w:tcPr>
            <w:tcW w:w="6095" w:type="dxa"/>
            <w:shd w:val="clear" w:color="auto" w:fill="auto"/>
          </w:tcPr>
          <w:p w:rsidR="00773E47" w:rsidRPr="002A6352" w:rsidRDefault="00773E47" w:rsidP="00E35FBD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FX market</w:t>
            </w:r>
          </w:p>
        </w:tc>
        <w:tc>
          <w:tcPr>
            <w:tcW w:w="2693" w:type="dxa"/>
            <w:shd w:val="clear" w:color="auto" w:fill="auto"/>
          </w:tcPr>
          <w:p w:rsidR="00773E47" w:rsidRPr="002A6352" w:rsidRDefault="00773E47" w:rsidP="00E35FBD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Securities market</w:t>
            </w:r>
          </w:p>
        </w:tc>
      </w:tr>
      <w:tr w:rsidR="00773E47" w:rsidRPr="00436B7A" w:rsidTr="00CA106A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773E47" w:rsidRPr="002A6352" w:rsidRDefault="00773E47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35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773E47" w:rsidRPr="002A6352" w:rsidRDefault="00773E47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Introduction of </w:t>
            </w:r>
            <w:r w:rsidRPr="002A63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transactions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73E47" w:rsidRPr="002A6352" w:rsidRDefault="00773E47" w:rsidP="00CA106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applied</w:t>
            </w:r>
          </w:p>
        </w:tc>
        <w:tc>
          <w:tcPr>
            <w:tcW w:w="6095" w:type="dxa"/>
            <w:shd w:val="clear" w:color="auto" w:fill="auto"/>
          </w:tcPr>
          <w:p w:rsidR="00EA447D" w:rsidRDefault="00EA447D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773E47" w:rsidRPr="002A6352" w:rsidRDefault="00E96E72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 effect since 04 September </w:t>
            </w:r>
            <w:r w:rsid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2017</w:t>
            </w:r>
            <w:r w:rsidR="000C6E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EA447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73E47" w:rsidRPr="00E96E72" w:rsidRDefault="00773E47" w:rsidP="00E96E72">
            <w:pPr>
              <w:pStyle w:val="afffffd"/>
              <w:numPr>
                <w:ilvl w:val="0"/>
                <w:numId w:val="34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new operations types in 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</w:rPr>
              <w:t>ССХ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  <w:p w:rsidR="00773E47" w:rsidRPr="00E96E72" w:rsidRDefault="00773E47" w:rsidP="00E96E72">
            <w:pPr>
              <w:pStyle w:val="afffffd"/>
              <w:numPr>
                <w:ilvl w:val="0"/>
                <w:numId w:val="34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reflection in the TRADES table</w:t>
            </w:r>
          </w:p>
        </w:tc>
        <w:tc>
          <w:tcPr>
            <w:tcW w:w="2693" w:type="dxa"/>
            <w:shd w:val="clear" w:color="auto" w:fill="auto"/>
          </w:tcPr>
          <w:p w:rsidR="00773E47" w:rsidRPr="00EA447D" w:rsidRDefault="00773E47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A447D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96E72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EA447D" w:rsidRPr="00EA447D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stage</w:t>
            </w:r>
          </w:p>
          <w:p w:rsidR="00773E47" w:rsidRPr="00E96E72" w:rsidRDefault="00773E47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63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new operations types in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63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EQM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  <w:p w:rsidR="00773E47" w:rsidRPr="00E96E72" w:rsidRDefault="00773E47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A63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reflection in the TRADES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A63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table</w:t>
            </w:r>
          </w:p>
        </w:tc>
      </w:tr>
      <w:tr w:rsidR="00EA447D" w:rsidRPr="00436B7A" w:rsidTr="00CA106A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EA447D" w:rsidRPr="00773E47" w:rsidRDefault="00EA447D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EA447D" w:rsidRPr="002A6352" w:rsidRDefault="00EA447D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Changes in the procedure for cash funds return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A447D" w:rsidRPr="002A6352" w:rsidRDefault="00EA447D" w:rsidP="00CA106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 not changed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EA447D" w:rsidRPr="00EA447D" w:rsidRDefault="00EA447D" w:rsidP="00EA447D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A447D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96E72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EA447D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stage</w:t>
            </w:r>
          </w:p>
          <w:p w:rsidR="00EA447D" w:rsidRDefault="00EA447D" w:rsidP="00A53121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 case if </w:t>
            </w:r>
            <w:r w:rsidR="009704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“</w:t>
            </w:r>
            <w:r w:rsidR="009704BD"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 the amount</w:t>
            </w:r>
            <w:r w:rsidR="009704BD"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9704BD"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of the Total net claim</w:t>
            </w:r>
            <w:r w:rsidR="009704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” (type 6)</w:t>
            </w:r>
            <w:r w:rsidR="009704BD"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is indicated</w:t>
            </w:r>
            <w:r w:rsidR="009704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C6E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 </w:t>
            </w:r>
            <w:r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Standing Instruction on Cash Funds Return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="007306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returned amount of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Russian rubles will include </w:t>
            </w:r>
            <w:r w:rsidR="00A531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obligations / claims to pay variation margin, debt, emerged on the previous day, net claim under trade and obligations to pay the fee. Such </w:t>
            </w:r>
            <w:r w:rsidR="00A53121"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Standing Instruction on Cash Funds Return</w:t>
            </w:r>
            <w:r w:rsidR="00A531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A531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will be executed</w:t>
            </w:r>
            <w:proofErr w:type="gramEnd"/>
            <w:r w:rsidR="00A531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after 19:00.</w:t>
            </w:r>
          </w:p>
          <w:p w:rsidR="00A53121" w:rsidRDefault="00A53121" w:rsidP="00A53121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A53121" w:rsidRPr="002A6352" w:rsidRDefault="00A53121" w:rsidP="00A53121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in case if “in the amount of the net claim under trades” (type 4) is indicated in the </w:t>
            </w:r>
            <w:r w:rsidRPr="00A531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Standing Instruction on Cash Funds Return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the returned amount will include the abovementioned obligations, except for the fee. Such </w:t>
            </w:r>
            <w:r w:rsidRPr="00A531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Standing Instruction on Cash Funds Return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will be executed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after calculation of the Total Net Obligation / Total Net Claim in Russian rubles. </w:t>
            </w:r>
          </w:p>
        </w:tc>
      </w:tr>
      <w:tr w:rsidR="00AB49F8" w:rsidRPr="00436B7A" w:rsidTr="00CA106A">
        <w:trPr>
          <w:trHeight w:val="458"/>
          <w:jc w:val="center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AB49F8" w:rsidRPr="00773E47" w:rsidRDefault="00AB49F8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3E4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83" w:type="dxa"/>
            <w:vMerge w:val="restart"/>
            <w:shd w:val="clear" w:color="auto" w:fill="auto"/>
            <w:vAlign w:val="center"/>
          </w:tcPr>
          <w:p w:rsidR="00AB49F8" w:rsidRPr="00773E47" w:rsidRDefault="00AB49F8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773E4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Fulfillment of obligations to pay fee till 20:00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AB49F8" w:rsidRPr="006823E6" w:rsidRDefault="00AB49F8" w:rsidP="00CA106A">
            <w:pPr>
              <w:spacing w:before="240"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 not changed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AB49F8" w:rsidRPr="002A6352" w:rsidRDefault="00AB49F8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 case if Russian rubles are not secured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 respect of the fee withdrawal under trades by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20:00, </w:t>
            </w:r>
            <w:r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concluded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before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19:00, </w:t>
            </w:r>
            <w:r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NCC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A447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will conclude rollover swap trades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B49F8" w:rsidRPr="002A6352" w:rsidTr="00CA106A">
        <w:trPr>
          <w:trHeight w:val="457"/>
          <w:jc w:val="center"/>
        </w:trPr>
        <w:tc>
          <w:tcPr>
            <w:tcW w:w="439" w:type="dxa"/>
            <w:vMerge/>
            <w:shd w:val="clear" w:color="auto" w:fill="auto"/>
            <w:vAlign w:val="center"/>
          </w:tcPr>
          <w:p w:rsidR="00AB49F8" w:rsidRPr="00773E47" w:rsidRDefault="00AB49F8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:rsidR="00AB49F8" w:rsidRPr="00773E47" w:rsidRDefault="00AB49F8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AB49F8" w:rsidRDefault="00AB49F8" w:rsidP="006823E6">
            <w:pPr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AB49F8" w:rsidRPr="00AB49F8" w:rsidRDefault="00AB49F8" w:rsidP="00E35F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 effect since </w:t>
            </w:r>
            <w:r w:rsid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04 September 2017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9F8" w:rsidRPr="002A6352" w:rsidRDefault="00AB49F8" w:rsidP="00CA106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B49F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 stage</w:t>
            </w:r>
          </w:p>
        </w:tc>
      </w:tr>
      <w:tr w:rsidR="00436B7A" w:rsidRPr="002A6352" w:rsidTr="001E440A">
        <w:trPr>
          <w:trHeight w:val="413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36B7A" w:rsidRPr="00436B7A" w:rsidRDefault="00436B7A" w:rsidP="001E440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436B7A" w:rsidRPr="002A6352" w:rsidRDefault="00436B7A" w:rsidP="00436B7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Blocking the fee amount in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Single Limit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while submitting orders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36B7A" w:rsidRPr="006B11C3" w:rsidRDefault="00436B7A" w:rsidP="001E440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 not changed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436B7A" w:rsidRPr="006B11C3" w:rsidRDefault="00436B7A" w:rsidP="001E440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11C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B11C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B11C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stage</w:t>
            </w:r>
          </w:p>
        </w:tc>
      </w:tr>
      <w:tr w:rsidR="00CF4804" w:rsidRPr="00436B7A" w:rsidTr="00E96E72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CF4804" w:rsidRPr="00436B7A" w:rsidRDefault="00436B7A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F4804" w:rsidRPr="002A6352" w:rsidRDefault="00CF4804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Penalties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</w:t>
            </w:r>
            <w:r w:rsidRP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cut-off time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 all markets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F4804" w:rsidRPr="002A6352" w:rsidRDefault="00E96E72" w:rsidP="00E96E72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E96E7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of January 2018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CF4804" w:rsidRDefault="00CF4804" w:rsidP="00CF4804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F480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96E72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CF480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stage</w:t>
            </w:r>
          </w:p>
          <w:p w:rsidR="00CF4804" w:rsidRPr="002A6352" w:rsidRDefault="001124F4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="00CF48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or each currency the unified time for the calculation of Total net obligations on the </w:t>
            </w:r>
            <w:r w:rsidR="00CA10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="00CF48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ecurities and FX </w:t>
            </w:r>
            <w:r w:rsidR="00CA10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="00CF48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arket is introduced, and also the unified cut-off time for the fulfillment of Total net obligations on the </w:t>
            </w:r>
            <w:r w:rsidR="00CA10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="00CF48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ecurities, FX and </w:t>
            </w:r>
            <w:r w:rsidR="00CA10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="00CF48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erivatives markets in accordance with the Time Specifications is introduced</w:t>
            </w:r>
          </w:p>
        </w:tc>
      </w:tr>
      <w:tr w:rsidR="00400A06" w:rsidRPr="00436B7A" w:rsidTr="00E96E72">
        <w:trPr>
          <w:trHeight w:val="36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400A06" w:rsidRPr="002A6352" w:rsidRDefault="00436B7A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3483" w:type="dxa"/>
            <w:shd w:val="clear" w:color="auto" w:fill="auto"/>
            <w:vAlign w:val="center"/>
          </w:tcPr>
          <w:p w:rsidR="00400A06" w:rsidRPr="002A6352" w:rsidRDefault="00400A06" w:rsidP="00E35FB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Increase of the </w:t>
            </w:r>
            <w:r w:rsid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minimum size 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Default Fund contribution up to 10 000 000 </w:t>
            </w:r>
            <w:r w:rsidR="00E96E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RUB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 each market</w:t>
            </w:r>
          </w:p>
        </w:tc>
        <w:tc>
          <w:tcPr>
            <w:tcW w:w="10815" w:type="dxa"/>
            <w:gridSpan w:val="3"/>
            <w:shd w:val="clear" w:color="auto" w:fill="auto"/>
            <w:vAlign w:val="center"/>
          </w:tcPr>
          <w:p w:rsidR="00400A06" w:rsidRDefault="00400A06" w:rsidP="00E35FBD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400A0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96E72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400A0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stage</w:t>
            </w:r>
          </w:p>
          <w:p w:rsidR="00400A06" w:rsidRPr="00400A06" w:rsidRDefault="00400A06" w:rsidP="00E96E72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E96E72">
              <w:rPr>
                <w:rFonts w:ascii="Arial" w:hAnsi="Arial" w:cs="Arial"/>
                <w:sz w:val="20"/>
                <w:szCs w:val="20"/>
                <w:lang w:val="en-US"/>
              </w:rPr>
              <w:t>for the D</w:t>
            </w:r>
            <w:r w:rsidR="00316D4B">
              <w:rPr>
                <w:rFonts w:ascii="Arial" w:hAnsi="Arial" w:cs="Arial"/>
                <w:sz w:val="20"/>
                <w:szCs w:val="20"/>
                <w:lang w:val="en-US"/>
              </w:rPr>
              <w:t xml:space="preserve">erivatives </w:t>
            </w:r>
            <w:r w:rsidR="00E96E7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316D4B">
              <w:rPr>
                <w:rFonts w:ascii="Arial" w:hAnsi="Arial" w:cs="Arial"/>
                <w:sz w:val="20"/>
                <w:szCs w:val="20"/>
                <w:lang w:val="en-US"/>
              </w:rPr>
              <w:t xml:space="preserve">arket – </w:t>
            </w:r>
            <w:r w:rsidR="00E96E72">
              <w:rPr>
                <w:rFonts w:ascii="Arial" w:hAnsi="Arial" w:cs="Arial"/>
                <w:sz w:val="20"/>
                <w:szCs w:val="20"/>
                <w:lang w:val="en-US"/>
              </w:rPr>
              <w:t>regardless</w:t>
            </w:r>
            <w:r w:rsidR="00316D4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section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CA106A" w:rsidRPr="00CA106A" w:rsidTr="00CA106A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CA106A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A106A" w:rsidRPr="00CA106A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Widening of list of assets accepted as collateral on Securities Market </w:t>
            </w:r>
          </w:p>
        </w:tc>
        <w:tc>
          <w:tcPr>
            <w:tcW w:w="8122" w:type="dxa"/>
            <w:gridSpan w:val="2"/>
            <w:shd w:val="clear" w:color="auto" w:fill="auto"/>
            <w:vAlign w:val="center"/>
          </w:tcPr>
          <w:p w:rsidR="00CA106A" w:rsidRPr="003B756C" w:rsidRDefault="00CA106A" w:rsidP="00CA106A">
            <w:pPr>
              <w:tabs>
                <w:tab w:val="left" w:pos="2910"/>
                <w:tab w:val="center" w:pos="3953"/>
              </w:tabs>
              <w:spacing w:after="0" w:line="240" w:lineRule="auto"/>
              <w:textAlignment w:val="top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Pr="001972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relevant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06A" w:rsidRPr="002A6352" w:rsidRDefault="00CA106A" w:rsidP="00CA106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B49F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 stage</w:t>
            </w:r>
          </w:p>
        </w:tc>
      </w:tr>
      <w:tr w:rsidR="00CA106A" w:rsidRPr="002A6352" w:rsidTr="00E96E72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CA106A" w:rsidRPr="002A6352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A106A" w:rsidRPr="002A6352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Changes in clearing reports</w:t>
            </w:r>
          </w:p>
        </w:tc>
        <w:tc>
          <w:tcPr>
            <w:tcW w:w="10815" w:type="dxa"/>
            <w:gridSpan w:val="3"/>
            <w:shd w:val="clear" w:color="auto" w:fill="auto"/>
          </w:tcPr>
          <w:p w:rsidR="00CA106A" w:rsidRPr="003B756C" w:rsidRDefault="00CA106A" w:rsidP="00CA106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756C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75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B756C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stage</w:t>
            </w:r>
            <w:r w:rsidRPr="003B756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A106A" w:rsidRPr="003B756C" w:rsidRDefault="00CA106A" w:rsidP="00CA106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(changes description)</w:t>
            </w:r>
          </w:p>
        </w:tc>
      </w:tr>
      <w:tr w:rsidR="00CA106A" w:rsidRPr="002A6352" w:rsidTr="00E96E72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CA106A" w:rsidRPr="002A6352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A106A" w:rsidRPr="002A6352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Denial from the file gateway on the Derivatives Market in respect of return and transfer operations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A106A" w:rsidRPr="00CA106A" w:rsidRDefault="00CA106A" w:rsidP="00CA106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13</w:t>
            </w:r>
            <w:r w:rsidRPr="00CA106A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A106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of November </w:t>
            </w:r>
            <w:r w:rsidRPr="00CA1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A106A" w:rsidRPr="002A6352" w:rsidRDefault="00CA106A" w:rsidP="00CA10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2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relevant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06A" w:rsidRPr="002A6352" w:rsidRDefault="00CA106A" w:rsidP="00CA10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2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relevant</w:t>
            </w:r>
          </w:p>
        </w:tc>
      </w:tr>
      <w:tr w:rsidR="00CA106A" w:rsidRPr="002A6352" w:rsidTr="00E96E72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CA106A" w:rsidRPr="000E73C3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A106A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Change of collateral status (optionally)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A106A" w:rsidRDefault="00CA106A" w:rsidP="00CA106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available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A106A" w:rsidRPr="0019725F" w:rsidRDefault="00CA106A" w:rsidP="00CA10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relevant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06A" w:rsidRPr="00A03D40" w:rsidRDefault="00CA106A" w:rsidP="00CA1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A03D4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 stage</w:t>
            </w:r>
          </w:p>
        </w:tc>
      </w:tr>
      <w:tr w:rsidR="00CA106A" w:rsidRPr="002A6352" w:rsidTr="00E96E72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CA106A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A106A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Cancellation of the automatic cash funds return from the T+ to the T0 when fulfilling obligations</w:t>
            </w:r>
          </w:p>
        </w:tc>
        <w:tc>
          <w:tcPr>
            <w:tcW w:w="8122" w:type="dxa"/>
            <w:gridSpan w:val="2"/>
            <w:shd w:val="clear" w:color="auto" w:fill="auto"/>
            <w:vAlign w:val="center"/>
          </w:tcPr>
          <w:p w:rsidR="00CA106A" w:rsidRPr="0019725F" w:rsidRDefault="00CA106A" w:rsidP="00CA10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relevant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106A" w:rsidRPr="000E73C3" w:rsidRDefault="00CA106A" w:rsidP="00CA10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0E73C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II stage</w:t>
            </w:r>
          </w:p>
        </w:tc>
      </w:tr>
      <w:tr w:rsidR="00CA106A" w:rsidRPr="002A6352" w:rsidTr="00E96E72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CA106A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A106A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Special Sub-accounts Cluster opening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A106A" w:rsidRPr="00CA106A" w:rsidRDefault="00CA106A" w:rsidP="00CA106A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A106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04</w:t>
            </w:r>
            <w:r w:rsidRPr="00CA106A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CA106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of September 2017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CA106A" w:rsidRPr="0019725F" w:rsidRDefault="00CA106A" w:rsidP="00CA10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not relevant</w:t>
            </w:r>
          </w:p>
        </w:tc>
      </w:tr>
      <w:tr w:rsidR="00CA106A" w:rsidRPr="00436B7A" w:rsidTr="00E96E72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CA106A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A106A" w:rsidRDefault="00CA106A" w:rsidP="00CA106A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Fee for recording collateral in foreign currency</w:t>
            </w:r>
          </w:p>
        </w:tc>
        <w:tc>
          <w:tcPr>
            <w:tcW w:w="10815" w:type="dxa"/>
            <w:gridSpan w:val="3"/>
            <w:shd w:val="clear" w:color="auto" w:fill="auto"/>
            <w:vAlign w:val="center"/>
          </w:tcPr>
          <w:p w:rsidR="00CA106A" w:rsidRPr="0019725F" w:rsidRDefault="00CA106A" w:rsidP="008778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 effect since </w:t>
            </w:r>
            <w:r w:rsidR="00877855" w:rsidRPr="0087785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01</w:t>
            </w:r>
            <w:r w:rsidR="00877855" w:rsidRPr="00877855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="00877855" w:rsidRPr="00877855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of August 2018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on all markets</w:t>
            </w:r>
          </w:p>
        </w:tc>
      </w:tr>
    </w:tbl>
    <w:p w:rsidR="005126E8" w:rsidRPr="00E96E72" w:rsidRDefault="005126E8">
      <w:pPr>
        <w:rPr>
          <w:lang w:val="en-US"/>
        </w:rPr>
      </w:pPr>
    </w:p>
    <w:sectPr w:rsidR="005126E8" w:rsidRPr="00E96E72" w:rsidSect="00634E4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E605DD2"/>
    <w:multiLevelType w:val="hybridMultilevel"/>
    <w:tmpl w:val="F3CC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3"/>
  </w:num>
  <w:num w:numId="20">
    <w:abstractNumId w:val="19"/>
  </w:num>
  <w:num w:numId="21">
    <w:abstractNumId w:val="7"/>
  </w:num>
  <w:num w:numId="22">
    <w:abstractNumId w:val="16"/>
  </w:num>
  <w:num w:numId="23">
    <w:abstractNumId w:val="6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8"/>
  </w:num>
  <w:num w:numId="31">
    <w:abstractNumId w:val="10"/>
  </w:num>
  <w:num w:numId="32">
    <w:abstractNumId w:val="29"/>
  </w:num>
  <w:num w:numId="33">
    <w:abstractNumId w:val="9"/>
  </w:num>
  <w:num w:numId="34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47"/>
    <w:rsid w:val="000C6E46"/>
    <w:rsid w:val="000E73C3"/>
    <w:rsid w:val="000F3F40"/>
    <w:rsid w:val="001124F4"/>
    <w:rsid w:val="00316D4B"/>
    <w:rsid w:val="003B756C"/>
    <w:rsid w:val="003F5197"/>
    <w:rsid w:val="00400A06"/>
    <w:rsid w:val="00436B7A"/>
    <w:rsid w:val="004F2169"/>
    <w:rsid w:val="005126E8"/>
    <w:rsid w:val="006067A4"/>
    <w:rsid w:val="00634E43"/>
    <w:rsid w:val="00656163"/>
    <w:rsid w:val="006823E6"/>
    <w:rsid w:val="006B11C3"/>
    <w:rsid w:val="00730698"/>
    <w:rsid w:val="00773E47"/>
    <w:rsid w:val="007A62E6"/>
    <w:rsid w:val="007C3EEB"/>
    <w:rsid w:val="008007A7"/>
    <w:rsid w:val="00816300"/>
    <w:rsid w:val="00877855"/>
    <w:rsid w:val="00927B8D"/>
    <w:rsid w:val="009704BD"/>
    <w:rsid w:val="00A03D40"/>
    <w:rsid w:val="00A53121"/>
    <w:rsid w:val="00AB49F8"/>
    <w:rsid w:val="00B75D05"/>
    <w:rsid w:val="00C843C0"/>
    <w:rsid w:val="00CA106A"/>
    <w:rsid w:val="00CF4804"/>
    <w:rsid w:val="00D04FB1"/>
    <w:rsid w:val="00D15998"/>
    <w:rsid w:val="00DF6F60"/>
    <w:rsid w:val="00E96E72"/>
    <w:rsid w:val="00EA447D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4409CF-F538-460A-9DE6-CBEAE1DA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773E4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fd"/>
    <w:next w:val="afd"/>
    <w:link w:val="11"/>
    <w:qFormat/>
    <w:rsid w:val="00F2247E"/>
    <w:pPr>
      <w:keepNext/>
      <w:ind w:left="4809" w:firstLine="720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spacing w:before="120" w:after="12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jc w:val="center"/>
      <w:outlineLvl w:val="8"/>
    </w:pPr>
    <w:rPr>
      <w:b/>
      <w:color w:val="FFFFFF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spacing w:before="360"/>
      <w:jc w:val="center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spacing w:before="120"/>
      <w:ind w:left="851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spacing w:before="120" w:line="360" w:lineRule="atLeas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jc w:val="center"/>
    </w:p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spacing w:before="20"/>
      <w:ind w:right="108"/>
      <w:jc w:val="right"/>
    </w:pPr>
    <w:rPr>
      <w:rFonts w:ascii="Times New Roman CYR" w:hAnsi="Times New Roman CYR"/>
    </w:rPr>
  </w:style>
  <w:style w:type="paragraph" w:customStyle="1" w:styleId="iauiue30">
    <w:name w:val="iauiue3"/>
    <w:basedOn w:val="afd"/>
    <w:rsid w:val="00F2247E"/>
    <w:pPr>
      <w:spacing w:before="100" w:beforeAutospacing="1" w:after="100" w:afterAutospacing="1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ind w:right="107"/>
      <w:jc w:val="right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spacing w:before="100" w:beforeAutospacing="1" w:after="100" w:afterAutospacing="1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spacing w:before="24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spacing w:before="12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spacing w:before="120"/>
    </w:pPr>
  </w:style>
  <w:style w:type="paragraph" w:customStyle="1" w:styleId="-">
    <w:name w:val="Пункт -"/>
    <w:basedOn w:val="afd"/>
    <w:qFormat/>
    <w:rsid w:val="00F2247E"/>
    <w:pPr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spacing w:after="12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numPr>
        <w:ilvl w:val="2"/>
        <w:numId w:val="31"/>
      </w:numPr>
      <w:spacing w:before="120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numPr>
        <w:numId w:val="3"/>
      </w:numPr>
    </w:pPr>
  </w:style>
  <w:style w:type="paragraph" w:customStyle="1" w:styleId="Point">
    <w:name w:val="Point"/>
    <w:basedOn w:val="afd"/>
    <w:link w:val="Point1"/>
    <w:qFormat/>
    <w:rsid w:val="00F2247E"/>
    <w:pPr>
      <w:numPr>
        <w:ilvl w:val="1"/>
        <w:numId w:val="3"/>
      </w:numPr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numPr>
        <w:ilvl w:val="2"/>
        <w:numId w:val="3"/>
      </w:numPr>
    </w:pPr>
  </w:style>
  <w:style w:type="paragraph" w:customStyle="1" w:styleId="Point3">
    <w:name w:val="Point 3"/>
    <w:basedOn w:val="afd"/>
    <w:qFormat/>
    <w:rsid w:val="00F2247E"/>
    <w:pPr>
      <w:numPr>
        <w:ilvl w:val="3"/>
        <w:numId w:val="3"/>
      </w:numPr>
    </w:pPr>
  </w:style>
  <w:style w:type="paragraph" w:customStyle="1" w:styleId="Texttab">
    <w:name w:val="Text tab"/>
    <w:basedOn w:val="afd"/>
    <w:link w:val="Texttab0"/>
    <w:qFormat/>
    <w:rsid w:val="00F2247E"/>
    <w:pPr>
      <w:tabs>
        <w:tab w:val="right" w:pos="851"/>
      </w:tabs>
      <w:spacing w:before="60"/>
      <w:ind w:left="851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spacing w:before="100" w:beforeAutospacing="1" w:after="100" w:afterAutospacing="1"/>
    </w:pPr>
    <w:rPr>
      <w:szCs w:val="24"/>
    </w:rPr>
  </w:style>
  <w:style w:type="paragraph" w:customStyle="1" w:styleId="a10">
    <w:name w:val="a1"/>
    <w:basedOn w:val="afd"/>
    <w:rsid w:val="00F2247E"/>
    <w:pPr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fd"/>
    <w:rsid w:val="00F2247E"/>
    <w:pPr>
      <w:spacing w:before="100" w:beforeAutospacing="1" w:after="100" w:afterAutospacing="1"/>
    </w:pPr>
    <w:rPr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spacing w:before="240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spacing w:before="60"/>
      <w:ind w:left="567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tabs>
        <w:tab w:val="right" w:pos="9356"/>
      </w:tabs>
      <w:spacing w:line="360" w:lineRule="atLeast"/>
      <w:ind w:left="4536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spacing w:before="240"/>
      <w:ind w:left="851" w:hanging="851"/>
    </w:pPr>
    <w:rPr>
      <w:rFonts w:ascii="Times New Roman" w:hAnsi="Times New Roman"/>
      <w:b w:val="0"/>
      <w:bCs/>
      <w:szCs w:val="24"/>
      <w:lang w:val="x-none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numPr>
        <w:ilvl w:val="1"/>
      </w:numPr>
      <w:tabs>
        <w:tab w:val="left" w:pos="851"/>
      </w:tabs>
      <w:spacing w:before="240"/>
      <w:ind w:left="851" w:hanging="851"/>
      <w:jc w:val="both"/>
    </w:pPr>
    <w:rPr>
      <w:bCs/>
      <w:szCs w:val="24"/>
      <w:lang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spacing w:before="0"/>
      <w:jc w:val="right"/>
      <w:outlineLvl w:val="1"/>
    </w:pPr>
    <w:rPr>
      <w:bCs/>
      <w:szCs w:val="24"/>
      <w:lang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spacing w:before="120"/>
      <w:ind w:left="851" w:hanging="851"/>
      <w:outlineLvl w:val="0"/>
    </w:pPr>
    <w:rPr>
      <w:bCs/>
      <w:szCs w:val="24"/>
      <w:lang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ind w:right="-57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numPr>
        <w:ilvl w:val="1"/>
        <w:numId w:val="28"/>
      </w:numPr>
      <w:spacing w:before="360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numPr>
        <w:ilvl w:val="1"/>
        <w:numId w:val="31"/>
      </w:numPr>
      <w:spacing w:before="240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numPr>
        <w:numId w:val="17"/>
      </w:numPr>
      <w:tabs>
        <w:tab w:val="left" w:pos="851"/>
        <w:tab w:val="left" w:pos="900"/>
      </w:tabs>
      <w:spacing w:before="240"/>
    </w:pPr>
    <w:rPr>
      <w:rFonts w:cs="Arial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numPr>
        <w:numId w:val="4"/>
      </w:numPr>
      <w:tabs>
        <w:tab w:val="left" w:pos="1418"/>
        <w:tab w:val="right" w:pos="9356"/>
      </w:tabs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numPr>
        <w:numId w:val="31"/>
      </w:numPr>
      <w:tabs>
        <w:tab w:val="clear" w:pos="170"/>
        <w:tab w:val="num" w:pos="851"/>
      </w:tabs>
      <w:spacing w:before="360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tabs>
        <w:tab w:val="left" w:pos="1418"/>
        <w:tab w:val="right" w:leader="dot" w:pos="9497"/>
      </w:tabs>
      <w:spacing w:before="120"/>
    </w:p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tabs>
        <w:tab w:val="left" w:pos="2552"/>
        <w:tab w:val="right" w:leader="dot" w:pos="9497"/>
      </w:tabs>
      <w:spacing w:before="60"/>
      <w:ind w:left="284"/>
    </w:p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tabs>
        <w:tab w:val="left" w:pos="1985"/>
        <w:tab w:val="right" w:leader="dot" w:pos="9497"/>
      </w:tabs>
      <w:spacing w:before="60"/>
      <w:ind w:left="567"/>
    </w:pPr>
  </w:style>
  <w:style w:type="paragraph" w:styleId="43">
    <w:name w:val="toc 4"/>
    <w:basedOn w:val="afd"/>
    <w:next w:val="afd"/>
    <w:autoRedefine/>
    <w:semiHidden/>
    <w:unhideWhenUsed/>
    <w:rsid w:val="00F2247E"/>
    <w:pPr>
      <w:spacing w:after="100"/>
      <w:ind w:left="660"/>
    </w:pPr>
  </w:style>
  <w:style w:type="paragraph" w:styleId="52">
    <w:name w:val="toc 5"/>
    <w:basedOn w:val="afd"/>
    <w:next w:val="afd"/>
    <w:autoRedefine/>
    <w:semiHidden/>
    <w:unhideWhenUsed/>
    <w:rsid w:val="00F2247E"/>
    <w:pPr>
      <w:spacing w:after="100"/>
      <w:ind w:left="880"/>
    </w:pPr>
  </w:style>
  <w:style w:type="paragraph" w:styleId="62">
    <w:name w:val="toc 6"/>
    <w:basedOn w:val="afd"/>
    <w:next w:val="afd"/>
    <w:autoRedefine/>
    <w:semiHidden/>
    <w:unhideWhenUsed/>
    <w:rsid w:val="00F2247E"/>
    <w:pPr>
      <w:spacing w:after="100"/>
      <w:ind w:left="1100"/>
    </w:pPr>
  </w:style>
  <w:style w:type="paragraph" w:styleId="72">
    <w:name w:val="toc 7"/>
    <w:basedOn w:val="afd"/>
    <w:next w:val="afd"/>
    <w:autoRedefine/>
    <w:semiHidden/>
    <w:unhideWhenUsed/>
    <w:rsid w:val="00F2247E"/>
    <w:pPr>
      <w:spacing w:after="100"/>
      <w:ind w:left="1320"/>
    </w:pPr>
  </w:style>
  <w:style w:type="paragraph" w:styleId="81">
    <w:name w:val="toc 8"/>
    <w:basedOn w:val="afd"/>
    <w:next w:val="afd"/>
    <w:autoRedefine/>
    <w:semiHidden/>
    <w:unhideWhenUsed/>
    <w:rsid w:val="00F2247E"/>
    <w:pPr>
      <w:spacing w:after="100"/>
      <w:ind w:left="1540"/>
    </w:pPr>
  </w:style>
  <w:style w:type="paragraph" w:styleId="91">
    <w:name w:val="toc 9"/>
    <w:basedOn w:val="afd"/>
    <w:next w:val="afd"/>
    <w:autoRedefine/>
    <w:semiHidden/>
    <w:unhideWhenUsed/>
    <w:rsid w:val="00F2247E"/>
    <w:pPr>
      <w:spacing w:after="100"/>
      <w:ind w:left="1760"/>
    </w:p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rPr>
      <w:rFonts w:ascii="Consolas" w:hAnsi="Consolas"/>
      <w:sz w:val="21"/>
      <w:szCs w:val="21"/>
      <w:lang w:val="x-none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spacing w:before="100" w:beforeAutospacing="1" w:after="100" w:afterAutospacing="1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ind w:left="720"/>
      <w:contextualSpacing/>
    </w:pPr>
  </w:style>
  <w:style w:type="paragraph" w:styleId="afffffe">
    <w:name w:val="TOC Heading"/>
    <w:basedOn w:val="1"/>
    <w:next w:val="afd"/>
    <w:qFormat/>
    <w:rsid w:val="00F2247E"/>
    <w:pPr>
      <w:keepLines/>
      <w:spacing w:before="480"/>
      <w:ind w:left="0"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20">
    <w:name w:val="Основной текст 22"/>
    <w:basedOn w:val="afd"/>
    <w:rsid w:val="00F2247E"/>
    <w:pPr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Чаптыкова Ирина Витальевна</cp:lastModifiedBy>
  <cp:revision>2</cp:revision>
  <dcterms:created xsi:type="dcterms:W3CDTF">2017-11-24T14:12:00Z</dcterms:created>
  <dcterms:modified xsi:type="dcterms:W3CDTF">2017-11-24T14:12:00Z</dcterms:modified>
</cp:coreProperties>
</file>